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16-bis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2402063</w:t>
      </w:r>
    </w:p>
    <w:p>
      <w:pPr>
        <w:snapToGrid w:val="0"/>
        <w:spacing w:line="240" w:lineRule="auto"/>
        <w:rPr>
          <w:rFonts w:ascii="Arial" w:hAnsi="Arial" w:eastAsia="宋体"/>
          <w:b/>
          <w:sz w:val="22"/>
        </w:rPr>
      </w:pPr>
      <w:r>
        <w:rPr>
          <w:rFonts w:hint="eastAsia" w:ascii="Arial" w:hAnsi="Arial" w:eastAsia="宋体"/>
          <w:b/>
          <w:sz w:val="22"/>
        </w:rPr>
        <w:t>Changsha, Hunan Province, China</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April 15</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24</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102</w:t>
      </w:r>
      <w:r>
        <w:rPr>
          <w:rFonts w:hint="eastAsia" w:eastAsia="微软雅黑"/>
          <w:szCs w:val="20"/>
          <w:lang w:val="en-GB"/>
        </w:rPr>
        <w:t xml:space="preserve"> meeting, a new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UE-initiated beam reporting procedure</w:t>
      </w:r>
    </w:p>
    <w:p>
      <w:pPr>
        <w:snapToGrid w:val="0"/>
        <w:spacing w:before="72" w:beforeLines="30" w:after="72" w:afterLines="30" w:line="288" w:lineRule="auto"/>
        <w:jc w:val="both"/>
        <w:rPr>
          <w:rFonts w:eastAsia="宋体"/>
        </w:rPr>
      </w:pPr>
      <w:r>
        <w:rPr>
          <w:rFonts w:hint="eastAsia" w:eastAsia="宋体"/>
        </w:rPr>
        <w:t xml:space="preserve">According to the WID above, </w:t>
      </w:r>
      <w:r>
        <w:rPr>
          <w:rFonts w:eastAsia="宋体"/>
        </w:rPr>
        <w:t xml:space="preserve">the </w:t>
      </w:r>
      <w:r>
        <w:rPr>
          <w:rFonts w:hint="eastAsia" w:eastAsia="宋体"/>
        </w:rPr>
        <w:t>enhancements of UE-</w:t>
      </w:r>
      <w:r>
        <w:rPr>
          <w:rFonts w:eastAsia="宋体"/>
        </w:rPr>
        <w:t>initiated</w:t>
      </w:r>
      <w:r>
        <w:rPr>
          <w:rFonts w:hint="eastAsia" w:eastAsia="宋体"/>
        </w:rPr>
        <w:t>/event-driven beam management aim</w:t>
      </w:r>
      <w:r>
        <w:rPr>
          <w:rFonts w:eastAsia="宋体"/>
        </w:rPr>
        <w:t>s</w:t>
      </w:r>
      <w:r>
        <w:rPr>
          <w:rFonts w:hint="eastAsia" w:eastAsia="宋体"/>
        </w:rPr>
        <w:t xml:space="preserve"> at the following two objectives:</w:t>
      </w:r>
    </w:p>
    <w:p>
      <w:pPr>
        <w:numPr>
          <w:ilvl w:val="0"/>
          <w:numId w:val="9"/>
        </w:numPr>
        <w:tabs>
          <w:tab w:val="left" w:pos="420"/>
          <w:tab w:val="clear" w:pos="0"/>
        </w:tabs>
        <w:snapToGrid w:val="0"/>
        <w:spacing w:before="72" w:beforeLines="30" w:after="72" w:afterLines="30" w:line="288" w:lineRule="auto"/>
        <w:jc w:val="both"/>
        <w:rPr>
          <w:rFonts w:eastAsia="宋体"/>
        </w:rPr>
      </w:pPr>
      <w:r>
        <w:rPr>
          <w:rFonts w:hint="eastAsia" w:eastAsia="宋体"/>
        </w:rPr>
        <w:t>Beam report latency reduction facilitating fast beam switching</w:t>
      </w:r>
      <w:r>
        <w:rPr>
          <w:rFonts w:eastAsia="宋体"/>
        </w:rPr>
        <w:t>;</w:t>
      </w:r>
    </w:p>
    <w:p>
      <w:pPr>
        <w:numPr>
          <w:ilvl w:val="0"/>
          <w:numId w:val="9"/>
        </w:numPr>
        <w:tabs>
          <w:tab w:val="left" w:pos="420"/>
          <w:tab w:val="clear" w:pos="0"/>
        </w:tabs>
        <w:snapToGrid w:val="0"/>
        <w:spacing w:before="72" w:beforeLines="30" w:after="72" w:afterLines="30" w:line="288" w:lineRule="auto"/>
        <w:jc w:val="both"/>
        <w:rPr>
          <w:rFonts w:eastAsia="宋体"/>
        </w:rPr>
      </w:pPr>
      <w:r>
        <w:rPr>
          <w:rFonts w:hint="eastAsia" w:eastAsia="宋体"/>
        </w:rPr>
        <w:t>Beam report overhead reduction</w:t>
      </w:r>
      <w:r>
        <w:rPr>
          <w:rFonts w:eastAsia="宋体"/>
        </w:rPr>
        <w:t>.</w:t>
      </w:r>
    </w:p>
    <w:p>
      <w:pPr>
        <w:snapToGrid w:val="0"/>
        <w:spacing w:before="72" w:beforeLines="30" w:after="72" w:afterLines="30" w:line="288" w:lineRule="auto"/>
        <w:jc w:val="both"/>
        <w:rPr>
          <w:rFonts w:eastAsia="宋体"/>
          <w:b/>
          <w:sz w:val="28"/>
          <w:szCs w:val="28"/>
        </w:rPr>
      </w:pPr>
      <w:r>
        <w:rPr>
          <w:rFonts w:hint="eastAsia" w:eastAsia="宋体"/>
        </w:rPr>
        <w:t>In RAN1#116 meeting, the following agreement on th</w:t>
      </w:r>
      <w:r>
        <w:rPr>
          <w:rFonts w:eastAsia="宋体"/>
        </w:rPr>
        <w:t xml:space="preserve">e framework of </w:t>
      </w:r>
      <w:r>
        <w:rPr>
          <w:rFonts w:hint="eastAsia" w:eastAsia="宋体"/>
        </w:rPr>
        <w:t xml:space="preserve">UE-initiated/event-driven beam report was endorsed, where </w:t>
      </w:r>
      <w:r>
        <w:rPr>
          <w:rFonts w:eastAsia="宋体"/>
        </w:rPr>
        <w:t xml:space="preserve">at least </w:t>
      </w:r>
      <w:r>
        <w:rPr>
          <w:rFonts w:hint="eastAsia" w:eastAsia="宋体"/>
        </w:rPr>
        <w:t xml:space="preserve">trigger event, signaling contents and signaling container for beam reporting </w:t>
      </w:r>
      <w:r>
        <w:rPr>
          <w:rFonts w:eastAsia="宋体"/>
        </w:rPr>
        <w:t xml:space="preserve">should be supported accordingly </w:t>
      </w:r>
      <w:r>
        <w:rPr>
          <w:rFonts w:hint="eastAsia" w:eastAsia="宋体"/>
        </w:rPr>
        <w:t xml:space="preserve">[2].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105"/>
              <w:snapToGrid w:val="0"/>
              <w:spacing w:before="60" w:after="60" w:afterAutospacing="0" w:line="240" w:lineRule="auto"/>
              <w:ind w:firstLine="0"/>
              <w:rPr>
                <w:rFonts w:eastAsia="等线"/>
                <w:u w:val="single"/>
                <w:lang w:val="en-US" w:eastAsia="zh-CN"/>
              </w:rPr>
            </w:pPr>
            <w:r>
              <w:rPr>
                <w:rFonts w:eastAsia="等线"/>
                <w:b/>
                <w:bCs/>
                <w:u w:val="single"/>
                <w:lang w:val="en-US" w:eastAsia="zh-CN"/>
              </w:rPr>
              <w:t>Agreement</w:t>
            </w:r>
          </w:p>
          <w:p>
            <w:pPr>
              <w:snapToGrid w:val="0"/>
              <w:spacing w:before="60" w:after="60" w:line="240" w:lineRule="auto"/>
              <w:rPr>
                <w:rFonts w:eastAsia="MS Mincho"/>
                <w:szCs w:val="20"/>
                <w:lang w:eastAsia="ja-JP"/>
              </w:rPr>
            </w:pPr>
            <w:r>
              <w:rPr>
                <w:color w:val="000000"/>
                <w:szCs w:val="20"/>
              </w:rPr>
              <w:t>On UE-initiated/event-driven beam report, at least of following aspects should be included:</w:t>
            </w:r>
          </w:p>
          <w:p>
            <w:pPr>
              <w:numPr>
                <w:ilvl w:val="0"/>
                <w:numId w:val="10"/>
              </w:numPr>
              <w:tabs>
                <w:tab w:val="left" w:pos="720"/>
                <w:tab w:val="clear" w:pos="300"/>
              </w:tabs>
              <w:snapToGrid w:val="0"/>
              <w:spacing w:before="60" w:after="60" w:line="240" w:lineRule="auto"/>
              <w:ind w:firstLine="0"/>
              <w:rPr>
                <w:rFonts w:eastAsia="MS Mincho"/>
                <w:szCs w:val="20"/>
                <w:lang w:eastAsia="ja-JP"/>
              </w:rPr>
            </w:pPr>
            <w:r>
              <w:rPr>
                <w:rFonts w:eastAsia="MS Mincho"/>
                <w:szCs w:val="20"/>
                <w:lang w:eastAsia="ja-JP"/>
              </w:rPr>
              <w:t>Trigger-event detection for beam reporting by UE</w:t>
            </w:r>
          </w:p>
          <w:p>
            <w:pPr>
              <w:numPr>
                <w:ilvl w:val="1"/>
                <w:numId w:val="10"/>
              </w:numPr>
              <w:tabs>
                <w:tab w:val="left" w:pos="1440"/>
                <w:tab w:val="clear" w:pos="1020"/>
              </w:tabs>
              <w:snapToGrid w:val="0"/>
              <w:spacing w:before="60" w:after="60" w:line="240" w:lineRule="auto"/>
              <w:ind w:firstLine="0"/>
              <w:rPr>
                <w:rFonts w:eastAsia="MS Mincho"/>
                <w:szCs w:val="20"/>
                <w:lang w:eastAsia="ja-JP"/>
              </w:rPr>
            </w:pPr>
            <w:r>
              <w:rPr>
                <w:rFonts w:eastAsia="MS Mincho"/>
                <w:szCs w:val="20"/>
                <w:lang w:eastAsia="ja-JP"/>
              </w:rPr>
              <w:t>UE monitors RS to assess if a beam-reporting trigger condition has been met</w:t>
            </w:r>
          </w:p>
          <w:p>
            <w:pPr>
              <w:numPr>
                <w:ilvl w:val="1"/>
                <w:numId w:val="10"/>
              </w:numPr>
              <w:tabs>
                <w:tab w:val="left" w:pos="1440"/>
                <w:tab w:val="clear" w:pos="1020"/>
              </w:tabs>
              <w:snapToGrid w:val="0"/>
              <w:spacing w:before="60" w:after="60" w:line="240" w:lineRule="auto"/>
              <w:ind w:firstLine="0"/>
              <w:rPr>
                <w:rFonts w:eastAsia="MS Mincho"/>
                <w:szCs w:val="20"/>
                <w:lang w:eastAsia="ja-JP"/>
              </w:rPr>
            </w:pPr>
            <w:r>
              <w:rPr>
                <w:rFonts w:eastAsia="MS Mincho"/>
                <w:szCs w:val="20"/>
                <w:lang w:eastAsia="ja-JP"/>
              </w:rPr>
              <w:t>FFS: Trigger condition for declaring beam-reporting event</w:t>
            </w:r>
          </w:p>
          <w:p>
            <w:pPr>
              <w:numPr>
                <w:ilvl w:val="0"/>
                <w:numId w:val="10"/>
              </w:numPr>
              <w:tabs>
                <w:tab w:val="left" w:pos="720"/>
                <w:tab w:val="clear" w:pos="300"/>
              </w:tabs>
              <w:snapToGrid w:val="0"/>
              <w:spacing w:before="60" w:after="60" w:line="240" w:lineRule="auto"/>
              <w:ind w:firstLine="0"/>
              <w:rPr>
                <w:rFonts w:eastAsia="MS Mincho"/>
                <w:szCs w:val="20"/>
                <w:lang w:eastAsia="ja-JP"/>
              </w:rPr>
            </w:pPr>
            <w:r>
              <w:rPr>
                <w:rFonts w:eastAsia="MS Mincho"/>
                <w:szCs w:val="20"/>
                <w:lang w:eastAsia="ja-JP"/>
              </w:rPr>
              <w:t>Beam-report transmission by UE</w:t>
            </w:r>
          </w:p>
          <w:p>
            <w:pPr>
              <w:numPr>
                <w:ilvl w:val="1"/>
                <w:numId w:val="10"/>
              </w:numPr>
              <w:tabs>
                <w:tab w:val="left" w:pos="1440"/>
                <w:tab w:val="clear" w:pos="1020"/>
              </w:tabs>
              <w:snapToGrid w:val="0"/>
              <w:spacing w:before="60" w:after="60" w:line="240" w:lineRule="auto"/>
              <w:ind w:firstLine="0"/>
              <w:rPr>
                <w:rFonts w:eastAsia="MS Mincho"/>
                <w:szCs w:val="20"/>
                <w:lang w:eastAsia="ja-JP"/>
              </w:rPr>
            </w:pPr>
            <w:r>
              <w:rPr>
                <w:rFonts w:hint="eastAsia" w:eastAsia="MS Mincho"/>
                <w:szCs w:val="20"/>
                <w:lang w:eastAsia="ja-JP"/>
              </w:rPr>
              <w:t>S</w:t>
            </w:r>
            <w:r>
              <w:rPr>
                <w:rFonts w:eastAsia="MS Mincho"/>
                <w:szCs w:val="20"/>
                <w:lang w:eastAsia="ja-JP"/>
              </w:rPr>
              <w:t>ignaling contents in the beam report</w:t>
            </w:r>
          </w:p>
          <w:p>
            <w:pPr>
              <w:numPr>
                <w:ilvl w:val="1"/>
                <w:numId w:val="10"/>
              </w:numPr>
              <w:tabs>
                <w:tab w:val="left" w:pos="1440"/>
                <w:tab w:val="clear" w:pos="1020"/>
              </w:tabs>
              <w:snapToGrid w:val="0"/>
              <w:spacing w:before="60" w:after="60" w:line="240" w:lineRule="auto"/>
              <w:ind w:firstLine="0"/>
              <w:rPr>
                <w:rFonts w:eastAsia="MS Mincho"/>
                <w:szCs w:val="20"/>
                <w:lang w:eastAsia="ja-JP"/>
              </w:rPr>
            </w:pPr>
            <w:r>
              <w:rPr>
                <w:rFonts w:eastAsia="MS Mincho"/>
                <w:szCs w:val="20"/>
                <w:lang w:eastAsia="ja-JP"/>
              </w:rPr>
              <w:t>Down-selection one or more options (strive for one) between the following options as signaling medium/container for beam report transmission</w:t>
            </w:r>
          </w:p>
          <w:p>
            <w:pPr>
              <w:numPr>
                <w:ilvl w:val="2"/>
                <w:numId w:val="10"/>
              </w:numPr>
              <w:tabs>
                <w:tab w:val="left" w:pos="2160"/>
                <w:tab w:val="clear" w:pos="1740"/>
              </w:tabs>
              <w:snapToGrid w:val="0"/>
              <w:spacing w:before="60" w:after="60" w:line="240" w:lineRule="auto"/>
              <w:ind w:firstLine="0"/>
              <w:rPr>
                <w:rFonts w:eastAsia="MS Mincho"/>
                <w:szCs w:val="20"/>
                <w:lang w:eastAsia="ja-JP"/>
              </w:rPr>
            </w:pPr>
            <w:r>
              <w:rPr>
                <w:rFonts w:eastAsia="MS Mincho"/>
                <w:szCs w:val="20"/>
                <w:lang w:eastAsia="ja-JP"/>
              </w:rPr>
              <w:t>MAC-CE</w:t>
            </w:r>
          </w:p>
          <w:p>
            <w:pPr>
              <w:numPr>
                <w:ilvl w:val="2"/>
                <w:numId w:val="10"/>
              </w:numPr>
              <w:tabs>
                <w:tab w:val="left" w:pos="2160"/>
                <w:tab w:val="clear" w:pos="1740"/>
              </w:tabs>
              <w:snapToGrid w:val="0"/>
              <w:spacing w:before="60" w:after="60" w:line="240" w:lineRule="auto"/>
              <w:ind w:firstLine="0"/>
              <w:rPr>
                <w:rFonts w:eastAsia="MS Mincho"/>
                <w:szCs w:val="20"/>
                <w:lang w:eastAsia="ja-JP"/>
              </w:rPr>
            </w:pPr>
            <w:r>
              <w:rPr>
                <w:rFonts w:eastAsia="MS Mincho"/>
                <w:szCs w:val="20"/>
                <w:lang w:eastAsia="ja-JP"/>
              </w:rPr>
              <w:t>UCI</w:t>
            </w:r>
          </w:p>
          <w:p>
            <w:pPr>
              <w:numPr>
                <w:ilvl w:val="2"/>
                <w:numId w:val="10"/>
              </w:numPr>
              <w:tabs>
                <w:tab w:val="left" w:pos="2160"/>
                <w:tab w:val="clear" w:pos="1740"/>
              </w:tabs>
              <w:snapToGrid w:val="0"/>
              <w:spacing w:before="60" w:after="60" w:line="240" w:lineRule="auto"/>
              <w:ind w:firstLine="0"/>
              <w:rPr>
                <w:rFonts w:eastAsia="MS Mincho"/>
                <w:szCs w:val="20"/>
                <w:lang w:eastAsia="ja-JP"/>
              </w:rPr>
            </w:pPr>
            <w:r>
              <w:rPr>
                <w:rFonts w:eastAsia="MS Mincho"/>
                <w:szCs w:val="20"/>
                <w:lang w:eastAsia="ja-JP"/>
              </w:rPr>
              <w:t>Others are not precluded.</w:t>
            </w:r>
          </w:p>
          <w:p>
            <w:pPr>
              <w:snapToGrid w:val="0"/>
              <w:spacing w:before="60" w:after="60" w:line="240" w:lineRule="auto"/>
              <w:rPr>
                <w:rFonts w:eastAsia="MS Mincho"/>
                <w:szCs w:val="20"/>
                <w:lang w:eastAsia="ja-JP"/>
              </w:rPr>
            </w:pPr>
            <w:r>
              <w:rPr>
                <w:color w:val="000000"/>
                <w:szCs w:val="20"/>
              </w:rPr>
              <w:t>On UE-initiated/event-driven beam report, the following aspects may be included:</w:t>
            </w:r>
          </w:p>
          <w:p>
            <w:pPr>
              <w:numPr>
                <w:ilvl w:val="0"/>
                <w:numId w:val="10"/>
              </w:numPr>
              <w:tabs>
                <w:tab w:val="left" w:pos="720"/>
                <w:tab w:val="clear" w:pos="300"/>
              </w:tabs>
              <w:snapToGrid w:val="0"/>
              <w:spacing w:before="60" w:after="60" w:line="240" w:lineRule="auto"/>
              <w:ind w:firstLine="0"/>
              <w:rPr>
                <w:rFonts w:eastAsia="MS Mincho"/>
                <w:szCs w:val="20"/>
                <w:lang w:eastAsia="ja-JP"/>
              </w:rPr>
            </w:pPr>
            <w:r>
              <w:rPr>
                <w:color w:val="000000"/>
                <w:szCs w:val="20"/>
              </w:rPr>
              <w:t>UE requesting UL resource(s) for the beam report</w:t>
            </w:r>
          </w:p>
          <w:p>
            <w:pPr>
              <w:numPr>
                <w:ilvl w:val="0"/>
                <w:numId w:val="10"/>
              </w:numPr>
              <w:tabs>
                <w:tab w:val="left" w:pos="720"/>
                <w:tab w:val="clear" w:pos="300"/>
              </w:tabs>
              <w:snapToGrid w:val="0"/>
              <w:spacing w:before="60" w:after="60" w:line="240" w:lineRule="auto"/>
              <w:ind w:firstLine="0"/>
              <w:rPr>
                <w:rFonts w:eastAsia="MS Mincho"/>
                <w:szCs w:val="20"/>
                <w:lang w:eastAsia="ja-JP"/>
              </w:rPr>
            </w:pPr>
            <w:r>
              <w:rPr>
                <w:color w:val="000000"/>
                <w:szCs w:val="20"/>
              </w:rPr>
              <w:t>UE notifying transmission of beam report</w:t>
            </w:r>
          </w:p>
          <w:p>
            <w:pPr>
              <w:numPr>
                <w:ilvl w:val="0"/>
                <w:numId w:val="10"/>
              </w:numPr>
              <w:tabs>
                <w:tab w:val="left" w:pos="720"/>
                <w:tab w:val="clear" w:pos="300"/>
              </w:tabs>
              <w:snapToGrid w:val="0"/>
              <w:spacing w:before="60" w:after="60" w:line="240" w:lineRule="auto"/>
              <w:ind w:firstLine="0"/>
              <w:rPr>
                <w:rFonts w:eastAsia="MS Mincho"/>
                <w:szCs w:val="20"/>
                <w:lang w:eastAsia="ja-JP"/>
              </w:rPr>
            </w:pPr>
            <w:r>
              <w:rPr>
                <w:color w:val="000000"/>
                <w:szCs w:val="20"/>
              </w:rPr>
              <w:t>gNB preconfigured resources</w:t>
            </w:r>
          </w:p>
          <w:p>
            <w:pPr>
              <w:snapToGrid w:val="0"/>
              <w:spacing w:before="60" w:after="60" w:line="240" w:lineRule="auto"/>
              <w:rPr>
                <w:rFonts w:eastAsia="宋体"/>
                <w:szCs w:val="20"/>
              </w:rPr>
            </w:pPr>
            <w:r>
              <w:rPr>
                <w:rFonts w:eastAsia="Times New Roman"/>
                <w:szCs w:val="20"/>
              </w:rPr>
              <w:t>Other procedure(s) as required</w:t>
            </w:r>
          </w:p>
        </w:tc>
      </w:tr>
    </w:tbl>
    <w:p>
      <w:pPr>
        <w:pStyle w:val="111"/>
        <w:snapToGrid w:val="0"/>
        <w:spacing w:before="72" w:beforeLines="30" w:after="72" w:afterLines="30" w:line="288" w:lineRule="auto"/>
        <w:ind w:firstLine="0" w:firstLineChars="0"/>
        <w:jc w:val="both"/>
        <w:rPr>
          <w:rFonts w:eastAsia="宋体"/>
        </w:rPr>
      </w:pPr>
      <w:r>
        <w:rPr>
          <w:rFonts w:eastAsia="宋体"/>
        </w:rPr>
        <w:t>Then, per pre-meeting offline, we have the following candidates for UE-initiated beam reporting procedures. Due to the fact that Option-4b (contention-based) is not reliable and objected by several companies, we just provide our analysis on Option-1 to Option-3 in terms of report latency and report overhead, as shown in Figure 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62" w:hRule="atLeast"/>
        </w:trPr>
        <w:tc>
          <w:tcPr>
            <w:tcW w:w="9350" w:type="dxa"/>
          </w:tcPr>
          <w:p>
            <w:pPr>
              <w:snapToGrid w:val="0"/>
              <w:spacing w:after="60"/>
              <w:rPr>
                <w:sz w:val="21"/>
                <w:szCs w:val="18"/>
              </w:rPr>
            </w:pPr>
            <w:r>
              <w:rPr>
                <w:b/>
                <w:bCs/>
                <w:color w:val="000000" w:themeColor="text1"/>
                <w:sz w:val="21"/>
                <w:szCs w:val="18"/>
                <w14:textFill>
                  <w14:solidFill>
                    <w14:schemeClr w14:val="tx1"/>
                  </w14:solidFill>
                </w14:textFill>
              </w:rPr>
              <w:t>Proposal 3.1</w:t>
            </w:r>
            <w:r>
              <w:rPr>
                <w:color w:val="000000" w:themeColor="text1"/>
                <w:sz w:val="21"/>
                <w:szCs w:val="18"/>
                <w14:textFill>
                  <w14:solidFill>
                    <w14:schemeClr w14:val="tx1"/>
                  </w14:solidFill>
                </w14:textFill>
              </w:rPr>
              <w:t xml:space="preserve">: </w:t>
            </w:r>
            <w:r>
              <w:rPr>
                <w:sz w:val="21"/>
                <w:szCs w:val="18"/>
              </w:rPr>
              <w:t>On beam report transmission procedure for UE-initiated/event-driven beam reporting, further study at least of the following aspects for beam report transmission:</w:t>
            </w:r>
          </w:p>
          <w:p>
            <w:pPr>
              <w:numPr>
                <w:ilvl w:val="0"/>
                <w:numId w:val="11"/>
              </w:numPr>
              <w:snapToGrid w:val="0"/>
              <w:spacing w:after="60" w:line="240" w:lineRule="auto"/>
              <w:rPr>
                <w:sz w:val="21"/>
                <w:szCs w:val="18"/>
              </w:rPr>
            </w:pPr>
            <w:r>
              <w:rPr>
                <w:sz w:val="21"/>
                <w:szCs w:val="18"/>
              </w:rPr>
              <w:t xml:space="preserve">Option-1 (MAC-CE): </w:t>
            </w:r>
          </w:p>
          <w:p>
            <w:pPr>
              <w:numPr>
                <w:ilvl w:val="1"/>
                <w:numId w:val="11"/>
              </w:numPr>
              <w:snapToGrid w:val="0"/>
              <w:spacing w:after="60" w:line="240" w:lineRule="auto"/>
              <w:rPr>
                <w:sz w:val="21"/>
                <w:szCs w:val="18"/>
              </w:rPr>
            </w:pPr>
            <w:r>
              <w:rPr>
                <w:sz w:val="21"/>
                <w:szCs w:val="18"/>
              </w:rPr>
              <w:t>Step 1: UE transmits a SR for requesting UL-SCH resources, if trigger event occurs.</w:t>
            </w:r>
          </w:p>
          <w:p>
            <w:pPr>
              <w:numPr>
                <w:ilvl w:val="1"/>
                <w:numId w:val="11"/>
              </w:numPr>
              <w:snapToGrid w:val="0"/>
              <w:spacing w:after="60" w:line="240" w:lineRule="auto"/>
              <w:rPr>
                <w:sz w:val="21"/>
                <w:szCs w:val="18"/>
              </w:rPr>
            </w:pPr>
            <w:r>
              <w:rPr>
                <w:sz w:val="21"/>
                <w:szCs w:val="18"/>
              </w:rPr>
              <w:t xml:space="preserve">Step 2: UE detects the DCI format for UL grant. </w:t>
            </w:r>
          </w:p>
          <w:p>
            <w:pPr>
              <w:numPr>
                <w:ilvl w:val="1"/>
                <w:numId w:val="11"/>
              </w:numPr>
              <w:snapToGrid w:val="0"/>
              <w:spacing w:after="60" w:line="240" w:lineRule="auto"/>
              <w:rPr>
                <w:sz w:val="21"/>
                <w:szCs w:val="18"/>
              </w:rPr>
            </w:pPr>
            <w:r>
              <w:rPr>
                <w:sz w:val="21"/>
                <w:szCs w:val="18"/>
              </w:rPr>
              <w:t>Step 3: The beam report is carried by MAC CE in a new transmission of PUSCH.</w:t>
            </w:r>
          </w:p>
          <w:p>
            <w:pPr>
              <w:numPr>
                <w:ilvl w:val="1"/>
                <w:numId w:val="11"/>
              </w:numPr>
              <w:snapToGrid w:val="0"/>
              <w:spacing w:after="60" w:line="240" w:lineRule="auto"/>
              <w:rPr>
                <w:sz w:val="21"/>
                <w:szCs w:val="18"/>
              </w:rPr>
            </w:pPr>
            <w:r>
              <w:rPr>
                <w:sz w:val="21"/>
                <w:szCs w:val="18"/>
              </w:rPr>
              <w:t xml:space="preserve">Note: Step-1 and Step-2 can be skipped if UL-SCH resource is available for new transmission, and above do NOT imply to update the legacy procedure of MAC-CE. </w:t>
            </w:r>
          </w:p>
          <w:p>
            <w:pPr>
              <w:numPr>
                <w:ilvl w:val="1"/>
                <w:numId w:val="11"/>
              </w:numPr>
              <w:snapToGrid w:val="0"/>
              <w:spacing w:after="60" w:line="240" w:lineRule="auto"/>
              <w:rPr>
                <w:sz w:val="21"/>
                <w:szCs w:val="18"/>
              </w:rPr>
            </w:pPr>
            <w:r>
              <w:rPr>
                <w:sz w:val="21"/>
                <w:szCs w:val="18"/>
              </w:rPr>
              <w:t>Note: The MAC-CE can be carried in dynamically scheduled or semi-static configured resource.</w:t>
            </w:r>
          </w:p>
          <w:p>
            <w:pPr>
              <w:numPr>
                <w:ilvl w:val="0"/>
                <w:numId w:val="11"/>
              </w:numPr>
              <w:snapToGrid w:val="0"/>
              <w:spacing w:after="60" w:line="240" w:lineRule="auto"/>
              <w:rPr>
                <w:sz w:val="21"/>
                <w:szCs w:val="18"/>
              </w:rPr>
            </w:pPr>
            <w:bookmarkStart w:id="1" w:name="OLE_LINK26"/>
            <w:r>
              <w:rPr>
                <w:sz w:val="21"/>
                <w:szCs w:val="18"/>
              </w:rPr>
              <w:t>Option-2 (dynamically scheduling UCI by gNB):</w:t>
            </w:r>
          </w:p>
          <w:p>
            <w:pPr>
              <w:numPr>
                <w:ilvl w:val="1"/>
                <w:numId w:val="11"/>
              </w:numPr>
              <w:snapToGrid w:val="0"/>
              <w:spacing w:after="60" w:line="240" w:lineRule="auto"/>
              <w:rPr>
                <w:rFonts w:eastAsia="MS Mincho"/>
                <w:sz w:val="21"/>
                <w:szCs w:val="18"/>
                <w:lang w:eastAsia="ja-JP"/>
              </w:rPr>
            </w:pPr>
            <w:r>
              <w:rPr>
                <w:sz w:val="21"/>
                <w:szCs w:val="18"/>
              </w:rPr>
              <w:t xml:space="preserve">Step 1: UE transmits a first PUCCH (one-bit/multi-bit) to request a resource for a </w:t>
            </w:r>
            <w:r>
              <w:rPr>
                <w:color w:val="000000"/>
                <w:sz w:val="21"/>
                <w:szCs w:val="18"/>
              </w:rPr>
              <w:t xml:space="preserve">second UL channel to carry beam </w:t>
            </w:r>
            <w:r>
              <w:rPr>
                <w:sz w:val="21"/>
                <w:szCs w:val="18"/>
              </w:rPr>
              <w:t>report</w:t>
            </w:r>
          </w:p>
          <w:p>
            <w:pPr>
              <w:numPr>
                <w:ilvl w:val="2"/>
                <w:numId w:val="11"/>
              </w:numPr>
              <w:snapToGrid w:val="0"/>
              <w:spacing w:after="60" w:line="240" w:lineRule="auto"/>
              <w:jc w:val="both"/>
              <w:rPr>
                <w:rFonts w:eastAsia="MS Mincho"/>
                <w:sz w:val="21"/>
                <w:szCs w:val="18"/>
                <w:lang w:eastAsia="ja-JP"/>
              </w:rPr>
            </w:pPr>
            <w:r>
              <w:rPr>
                <w:rFonts w:eastAsia="MS Mincho"/>
                <w:sz w:val="21"/>
                <w:szCs w:val="18"/>
                <w:lang w:eastAsia="ja-JP"/>
              </w:rPr>
              <w:t>FFS: Request format, e.g., SR or a new UCI type</w:t>
            </w:r>
            <w:r>
              <w:rPr>
                <w:sz w:val="21"/>
                <w:szCs w:val="18"/>
              </w:rPr>
              <w:t>.</w:t>
            </w:r>
          </w:p>
          <w:p>
            <w:pPr>
              <w:numPr>
                <w:ilvl w:val="1"/>
                <w:numId w:val="11"/>
              </w:numPr>
              <w:snapToGrid w:val="0"/>
              <w:spacing w:after="60" w:line="240" w:lineRule="auto"/>
              <w:rPr>
                <w:rFonts w:eastAsia="MS Mincho"/>
                <w:sz w:val="21"/>
                <w:szCs w:val="18"/>
                <w:lang w:eastAsia="ja-JP"/>
              </w:rPr>
            </w:pPr>
            <w:r>
              <w:rPr>
                <w:color w:val="000000" w:themeColor="text1"/>
                <w:sz w:val="21"/>
                <w:szCs w:val="18"/>
                <w14:textFill>
                  <w14:solidFill>
                    <w14:schemeClr w14:val="tx1"/>
                  </w14:solidFill>
                </w14:textFill>
              </w:rPr>
              <w:t xml:space="preserve">Step 2: UE detects the DCI format to indicate </w:t>
            </w:r>
            <w:r>
              <w:rPr>
                <w:sz w:val="21"/>
                <w:szCs w:val="18"/>
              </w:rPr>
              <w:t xml:space="preserve">a resource for a </w:t>
            </w:r>
            <w:r>
              <w:rPr>
                <w:color w:val="000000"/>
                <w:sz w:val="21"/>
                <w:szCs w:val="18"/>
              </w:rPr>
              <w:t>second UL channel to carry beam report</w:t>
            </w:r>
            <w:r>
              <w:rPr>
                <w:color w:val="000000" w:themeColor="text1"/>
                <w:sz w:val="21"/>
                <w:szCs w:val="18"/>
                <w14:textFill>
                  <w14:solidFill>
                    <w14:schemeClr w14:val="tx1"/>
                  </w14:solidFill>
                </w14:textFill>
              </w:rPr>
              <w:t xml:space="preserve">. </w:t>
            </w:r>
          </w:p>
          <w:p>
            <w:pPr>
              <w:numPr>
                <w:ilvl w:val="1"/>
                <w:numId w:val="11"/>
              </w:numPr>
              <w:snapToGrid w:val="0"/>
              <w:spacing w:after="60" w:line="240" w:lineRule="auto"/>
              <w:rPr>
                <w:sz w:val="21"/>
                <w:szCs w:val="18"/>
              </w:rPr>
            </w:pPr>
            <w:r>
              <w:rPr>
                <w:color w:val="000000" w:themeColor="text1"/>
                <w:sz w:val="21"/>
                <w:szCs w:val="18"/>
                <w14:textFill>
                  <w14:solidFill>
                    <w14:schemeClr w14:val="tx1"/>
                  </w14:solidFill>
                </w14:textFill>
              </w:rPr>
              <w:t xml:space="preserve">Step 3: Beam report is transmitted </w:t>
            </w:r>
            <w:r>
              <w:rPr>
                <w:sz w:val="21"/>
                <w:szCs w:val="18"/>
              </w:rPr>
              <w:t>in second UL channel.</w:t>
            </w:r>
          </w:p>
          <w:p>
            <w:pPr>
              <w:numPr>
                <w:ilvl w:val="2"/>
                <w:numId w:val="11"/>
              </w:numPr>
              <w:snapToGrid w:val="0"/>
              <w:spacing w:after="60" w:line="240" w:lineRule="auto"/>
              <w:rPr>
                <w:sz w:val="21"/>
                <w:szCs w:val="18"/>
              </w:rPr>
            </w:pPr>
            <w:r>
              <w:rPr>
                <w:sz w:val="21"/>
                <w:szCs w:val="18"/>
              </w:rPr>
              <w:t>FFS: Details on the second UL channel, e.g., whether the second UL channel is PUCCH, PUSCH or both</w:t>
            </w:r>
          </w:p>
          <w:bookmarkEnd w:id="1"/>
          <w:p>
            <w:pPr>
              <w:numPr>
                <w:ilvl w:val="0"/>
                <w:numId w:val="11"/>
              </w:numPr>
              <w:snapToGrid w:val="0"/>
              <w:spacing w:after="60" w:line="240" w:lineRule="auto"/>
              <w:jc w:val="both"/>
              <w:rPr>
                <w:sz w:val="21"/>
                <w:szCs w:val="18"/>
              </w:rPr>
            </w:pPr>
            <w:r>
              <w:rPr>
                <w:sz w:val="21"/>
                <w:szCs w:val="18"/>
              </w:rPr>
              <w:t>Option-3 (UCI in pre-configured resource(s) for second UL channel):</w:t>
            </w:r>
          </w:p>
          <w:p>
            <w:pPr>
              <w:numPr>
                <w:ilvl w:val="1"/>
                <w:numId w:val="11"/>
              </w:numPr>
              <w:snapToGrid w:val="0"/>
              <w:spacing w:after="60" w:line="240" w:lineRule="auto"/>
              <w:jc w:val="both"/>
              <w:rPr>
                <w:rFonts w:eastAsia="MS Mincho"/>
                <w:sz w:val="21"/>
                <w:szCs w:val="18"/>
                <w:lang w:eastAsia="ja-JP"/>
              </w:rPr>
            </w:pPr>
            <w:r>
              <w:rPr>
                <w:sz w:val="21"/>
                <w:szCs w:val="18"/>
              </w:rPr>
              <w:t>Step 1: UE transmits a first PUCCH (one-bit/multi-bit) notifying a second UL channel to carry beam report</w:t>
            </w:r>
          </w:p>
          <w:p>
            <w:pPr>
              <w:numPr>
                <w:ilvl w:val="2"/>
                <w:numId w:val="11"/>
              </w:numPr>
              <w:snapToGrid w:val="0"/>
              <w:spacing w:after="60" w:line="240" w:lineRule="auto"/>
              <w:jc w:val="both"/>
              <w:rPr>
                <w:rFonts w:eastAsia="MS Mincho"/>
                <w:sz w:val="21"/>
                <w:szCs w:val="18"/>
                <w:lang w:eastAsia="ja-JP"/>
              </w:rPr>
            </w:pPr>
            <w:r>
              <w:rPr>
                <w:rFonts w:eastAsia="MS Mincho"/>
                <w:sz w:val="21"/>
                <w:szCs w:val="18"/>
                <w:lang w:eastAsia="ja-JP"/>
              </w:rPr>
              <w:t>FFS: Notification format, e.g., SR or a new UCI type</w:t>
            </w:r>
            <w:r>
              <w:rPr>
                <w:sz w:val="21"/>
                <w:szCs w:val="18"/>
              </w:rPr>
              <w:t>.</w:t>
            </w:r>
          </w:p>
          <w:p>
            <w:pPr>
              <w:numPr>
                <w:ilvl w:val="1"/>
                <w:numId w:val="11"/>
              </w:numPr>
              <w:snapToGrid w:val="0"/>
              <w:spacing w:after="60" w:line="240" w:lineRule="auto"/>
              <w:jc w:val="both"/>
              <w:rPr>
                <w:sz w:val="21"/>
                <w:szCs w:val="18"/>
              </w:rPr>
            </w:pPr>
            <w:r>
              <w:rPr>
                <w:sz w:val="21"/>
                <w:szCs w:val="18"/>
              </w:rPr>
              <w:t xml:space="preserve">Step 2: UE transmits the beam report in the second UL channel. </w:t>
            </w:r>
          </w:p>
          <w:p>
            <w:pPr>
              <w:numPr>
                <w:ilvl w:val="2"/>
                <w:numId w:val="11"/>
              </w:numPr>
              <w:snapToGrid w:val="0"/>
              <w:spacing w:after="60" w:line="240" w:lineRule="auto"/>
              <w:rPr>
                <w:sz w:val="21"/>
                <w:szCs w:val="18"/>
              </w:rPr>
            </w:pPr>
            <w:r>
              <w:rPr>
                <w:sz w:val="21"/>
                <w:szCs w:val="18"/>
              </w:rPr>
              <w:t>FFS: Details on the second UL channel, e.g., whether the second UL channel is PUCCH, PUSCH or both</w:t>
            </w:r>
          </w:p>
          <w:p>
            <w:pPr>
              <w:numPr>
                <w:ilvl w:val="1"/>
                <w:numId w:val="11"/>
              </w:numPr>
              <w:snapToGrid w:val="0"/>
              <w:spacing w:after="60" w:line="240" w:lineRule="auto"/>
              <w:jc w:val="both"/>
              <w:rPr>
                <w:sz w:val="21"/>
                <w:szCs w:val="18"/>
              </w:rPr>
            </w:pPr>
            <w:r>
              <w:rPr>
                <w:sz w:val="21"/>
                <w:szCs w:val="18"/>
              </w:rPr>
              <w:t xml:space="preserve">The notification in Step1 is in a separate reporting instance from the beam report in Step 2. </w:t>
            </w:r>
          </w:p>
          <w:p>
            <w:pPr>
              <w:numPr>
                <w:ilvl w:val="0"/>
                <w:numId w:val="11"/>
              </w:numPr>
              <w:snapToGrid w:val="0"/>
              <w:spacing w:after="60" w:line="240" w:lineRule="auto"/>
              <w:rPr>
                <w:sz w:val="21"/>
                <w:szCs w:val="18"/>
              </w:rPr>
            </w:pPr>
            <w:r>
              <w:rPr>
                <w:sz w:val="21"/>
                <w:szCs w:val="18"/>
              </w:rPr>
              <w:t>Option-4b (UCI in pre-configured resource not dedicated for UEI beam report):</w:t>
            </w:r>
          </w:p>
          <w:p>
            <w:pPr>
              <w:numPr>
                <w:ilvl w:val="1"/>
                <w:numId w:val="11"/>
              </w:numPr>
              <w:snapToGrid w:val="0"/>
              <w:spacing w:after="60" w:line="240" w:lineRule="auto"/>
              <w:rPr>
                <w:sz w:val="21"/>
                <w:szCs w:val="18"/>
              </w:rPr>
            </w:pPr>
            <w:r>
              <w:rPr>
                <w:sz w:val="21"/>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pPr>
              <w:numPr>
                <w:ilvl w:val="1"/>
                <w:numId w:val="11"/>
              </w:numPr>
              <w:snapToGrid w:val="0"/>
              <w:spacing w:after="60" w:line="240" w:lineRule="auto"/>
              <w:rPr>
                <w:sz w:val="21"/>
                <w:szCs w:val="18"/>
              </w:rPr>
            </w:pPr>
            <w:r>
              <w:rPr>
                <w:sz w:val="21"/>
                <w:szCs w:val="18"/>
              </w:rPr>
              <w:t>Note: The two-part UCI is carried on a same PUCCH or on a same PUSCH.</w:t>
            </w:r>
          </w:p>
          <w:p>
            <w:pPr>
              <w:snapToGrid w:val="0"/>
              <w:spacing w:after="60"/>
              <w:rPr>
                <w:rFonts w:eastAsia="宋体"/>
                <w:szCs w:val="18"/>
              </w:rPr>
            </w:pPr>
            <w:r>
              <w:rPr>
                <w:sz w:val="18"/>
                <w:szCs w:val="18"/>
              </w:rPr>
              <w:t xml:space="preserve">Note: Whether UE receives acknowledge information with response to each step for all options. </w:t>
            </w:r>
          </w:p>
        </w:tc>
      </w:tr>
    </w:tbl>
    <w:p>
      <w:pPr>
        <w:pStyle w:val="111"/>
        <w:snapToGrid w:val="0"/>
        <w:spacing w:before="72" w:beforeLines="30" w:after="72" w:afterLines="30" w:line="288" w:lineRule="auto"/>
        <w:ind w:firstLine="0" w:firstLineChars="0"/>
        <w:jc w:val="both"/>
        <w:rPr>
          <w:rFonts w:eastAsia="宋体"/>
        </w:rPr>
      </w:pPr>
      <w:r>
        <w:rPr>
          <w:rFonts w:eastAsia="宋体"/>
        </w:rPr>
        <w:t>Regarding reporting latency, in our views, O</w:t>
      </w:r>
      <w:r>
        <w:rPr>
          <w:rFonts w:hint="eastAsia" w:eastAsia="宋体"/>
        </w:rPr>
        <w:t>ption</w:t>
      </w:r>
      <w:r>
        <w:rPr>
          <w:rFonts w:eastAsia="宋体"/>
        </w:rPr>
        <w:t>-</w:t>
      </w:r>
      <w:r>
        <w:rPr>
          <w:rFonts w:hint="eastAsia" w:eastAsia="宋体"/>
        </w:rPr>
        <w:t>3 has the lowest latency among the three options.</w:t>
      </w:r>
      <w:r>
        <w:rPr>
          <w:rFonts w:eastAsia="宋体"/>
        </w:rPr>
        <w:t xml:space="preserve"> U</w:t>
      </w:r>
      <w:r>
        <w:rPr>
          <w:rFonts w:hint="eastAsia" w:eastAsia="宋体"/>
        </w:rPr>
        <w:t>pon a trigger event is detected, transmitting UCI bits of the beam report on the pre-configured uplink resources (Option</w:t>
      </w:r>
      <w:r>
        <w:rPr>
          <w:rFonts w:eastAsia="宋体"/>
        </w:rPr>
        <w:t>-</w:t>
      </w:r>
      <w:r>
        <w:rPr>
          <w:rFonts w:hint="eastAsia" w:eastAsia="宋体"/>
        </w:rPr>
        <w:t xml:space="preserve">3) has the </w:t>
      </w:r>
      <w:r>
        <w:rPr>
          <w:rFonts w:eastAsia="宋体"/>
        </w:rPr>
        <w:t>less</w:t>
      </w:r>
      <w:r>
        <w:rPr>
          <w:rFonts w:hint="eastAsia" w:eastAsia="宋体"/>
        </w:rPr>
        <w:t xml:space="preserve"> procedure steps</w:t>
      </w:r>
      <w:r>
        <w:rPr>
          <w:rFonts w:eastAsia="宋体"/>
        </w:rPr>
        <w:t>,</w:t>
      </w:r>
      <w:r>
        <w:rPr>
          <w:rFonts w:hint="eastAsia" w:eastAsia="宋体"/>
        </w:rPr>
        <w:t xml:space="preserve"> compared with transmitting UCI bits for the beam report on the PUSCH scheduled by DCI (Option</w:t>
      </w:r>
      <w:r>
        <w:rPr>
          <w:rFonts w:eastAsia="宋体"/>
        </w:rPr>
        <w:t>-</w:t>
      </w:r>
      <w:r>
        <w:rPr>
          <w:rFonts w:hint="eastAsia" w:eastAsia="宋体"/>
        </w:rPr>
        <w:t>2) and transmitting beam report MAC CE (Option</w:t>
      </w:r>
      <w:r>
        <w:rPr>
          <w:rFonts w:eastAsia="宋体"/>
        </w:rPr>
        <w:t>-</w:t>
      </w:r>
      <w:r>
        <w:rPr>
          <w:rFonts w:hint="eastAsia" w:eastAsia="宋体"/>
        </w:rPr>
        <w:t xml:space="preserve">1) when the uplink resource is unavailable. </w:t>
      </w:r>
    </w:p>
    <w:p>
      <w:pPr>
        <w:pStyle w:val="111"/>
        <w:numPr>
          <w:ilvl w:val="0"/>
          <w:numId w:val="12"/>
        </w:numPr>
        <w:snapToGrid w:val="0"/>
        <w:spacing w:before="72" w:beforeLines="30" w:after="72" w:afterLines="30" w:line="288" w:lineRule="auto"/>
        <w:ind w:firstLineChars="0"/>
        <w:jc w:val="both"/>
      </w:pPr>
      <w:r>
        <w:rPr>
          <w:rFonts w:hint="eastAsia" w:eastAsia="宋体"/>
        </w:rPr>
        <w:t>To take a typical configuration of TDD systems as an example, when a single DL-UL pattern is configured, for either Option</w:t>
      </w:r>
      <w:r>
        <w:rPr>
          <w:rFonts w:eastAsia="宋体"/>
        </w:rPr>
        <w:t>-</w:t>
      </w:r>
      <w:r>
        <w:rPr>
          <w:rFonts w:hint="eastAsia" w:eastAsia="宋体"/>
        </w:rPr>
        <w:t xml:space="preserve">1 or </w:t>
      </w:r>
      <w:r>
        <w:rPr>
          <w:rFonts w:eastAsia="宋体"/>
        </w:rPr>
        <w:t>Option-</w:t>
      </w:r>
      <w:r>
        <w:rPr>
          <w:rFonts w:hint="eastAsia" w:eastAsia="宋体"/>
        </w:rPr>
        <w:t xml:space="preserve">2, </w:t>
      </w:r>
      <w:r>
        <w:rPr>
          <w:rFonts w:eastAsia="宋体"/>
        </w:rPr>
        <w:t>UE</w:t>
      </w:r>
      <w:r>
        <w:rPr>
          <w:rFonts w:hint="eastAsia" w:eastAsia="宋体"/>
        </w:rPr>
        <w:t xml:space="preserve">-initiated beam report (UEIBR) </w:t>
      </w:r>
      <w:r>
        <w:rPr>
          <w:rFonts w:eastAsia="宋体"/>
        </w:rPr>
        <w:t>only can be transmitted in uplink-slot(s) several  downlink-slots after</w:t>
      </w:r>
      <w:r>
        <w:rPr>
          <w:rFonts w:hint="eastAsia" w:eastAsia="宋体"/>
        </w:rPr>
        <w:t xml:space="preserve"> the SR or beam report notification (BRN) transmis</w:t>
      </w:r>
      <w:bookmarkStart w:id="3" w:name="_GoBack"/>
      <w:bookmarkEnd w:id="3"/>
      <w:r>
        <w:rPr>
          <w:rFonts w:hint="eastAsia" w:eastAsia="宋体"/>
        </w:rPr>
        <w:t>sion.</w:t>
      </w:r>
      <w:r>
        <w:rPr>
          <w:rFonts w:eastAsia="宋体"/>
        </w:rPr>
        <w:t xml:space="preserve"> </w:t>
      </w:r>
    </w:p>
    <w:p>
      <w:pPr>
        <w:pStyle w:val="111"/>
        <w:numPr>
          <w:ilvl w:val="1"/>
          <w:numId w:val="12"/>
        </w:numPr>
        <w:snapToGrid w:val="0"/>
        <w:spacing w:before="72" w:beforeLines="30" w:after="72" w:afterLines="30" w:line="288" w:lineRule="auto"/>
        <w:ind w:firstLineChars="0"/>
        <w:jc w:val="both"/>
      </w:pPr>
      <w:r>
        <w:rPr>
          <w:rFonts w:eastAsia="宋体"/>
        </w:rPr>
        <w:t xml:space="preserve">For instance, </w:t>
      </w:r>
      <w:r>
        <w:rPr>
          <w:rFonts w:hint="eastAsia" w:eastAsia="宋体"/>
        </w:rPr>
        <w:t>where the periodicity is 2.5ms and the frame structure is configured to be DDDSU</w:t>
      </w:r>
      <w:r>
        <w:rPr>
          <w:rFonts w:eastAsia="宋体"/>
        </w:rPr>
        <w:t xml:space="preserve">, then </w:t>
      </w:r>
      <w:r>
        <w:rPr>
          <w:rFonts w:hint="eastAsia" w:eastAsia="宋体"/>
        </w:rPr>
        <w:t>UEIBR</w:t>
      </w:r>
      <w:r>
        <w:rPr>
          <w:rFonts w:eastAsia="宋体"/>
        </w:rPr>
        <w:t xml:space="preserve"> only can be transmitted in a next uplink slot </w:t>
      </w:r>
      <w:r>
        <w:rPr>
          <w:rFonts w:hint="eastAsia" w:eastAsia="宋体"/>
        </w:rPr>
        <w:t>at least 2ms</w:t>
      </w:r>
      <w:r>
        <w:rPr>
          <w:rFonts w:eastAsia="宋体"/>
        </w:rPr>
        <w:t xml:space="preserve"> after BRN.</w:t>
      </w:r>
    </w:p>
    <w:p>
      <w:pPr>
        <w:pStyle w:val="111"/>
        <w:numPr>
          <w:ilvl w:val="0"/>
          <w:numId w:val="12"/>
        </w:numPr>
        <w:snapToGrid w:val="0"/>
        <w:spacing w:before="72" w:beforeLines="30" w:after="72" w:afterLines="30" w:line="288" w:lineRule="auto"/>
        <w:ind w:firstLineChars="0"/>
        <w:jc w:val="both"/>
      </w:pPr>
      <w:r>
        <w:rPr>
          <w:rFonts w:hint="eastAsia" w:eastAsia="宋体"/>
        </w:rPr>
        <w:t>However, in Option</w:t>
      </w:r>
      <w:r>
        <w:rPr>
          <w:rFonts w:eastAsia="宋体"/>
        </w:rPr>
        <w:t>-</w:t>
      </w:r>
      <w:r>
        <w:rPr>
          <w:rFonts w:hint="eastAsia" w:eastAsia="宋体"/>
        </w:rPr>
        <w:t xml:space="preserve">3, due to no need to receive a downlink signaling, UE can transmit the beam report </w:t>
      </w:r>
      <w:r>
        <w:rPr>
          <w:rFonts w:eastAsia="宋体"/>
        </w:rPr>
        <w:t>immediately</w:t>
      </w:r>
      <w:r>
        <w:rPr>
          <w:rFonts w:hint="eastAsia" w:eastAsia="宋体"/>
        </w:rPr>
        <w:t xml:space="preserve"> after the BRN transmission, by which the report latency is reduced</w:t>
      </w:r>
      <w:r>
        <w:rPr>
          <w:rFonts w:eastAsia="宋体"/>
        </w:rPr>
        <w:t xml:space="preserve"> significantly</w:t>
      </w:r>
      <w:r>
        <w:rPr>
          <w:rFonts w:hint="eastAsia" w:eastAsia="宋体"/>
        </w:rPr>
        <w:t>. For instance, the BRN</w:t>
      </w:r>
      <w:r>
        <w:rPr>
          <w:rFonts w:eastAsia="宋体"/>
        </w:rPr>
        <w:t xml:space="preserve"> (e.g., a PUCCH)</w:t>
      </w:r>
      <w:r>
        <w:rPr>
          <w:rFonts w:hint="eastAsia" w:eastAsia="宋体"/>
        </w:rPr>
        <w:t xml:space="preserve"> and the beam report</w:t>
      </w:r>
      <w:r>
        <w:rPr>
          <w:rFonts w:eastAsia="宋体"/>
        </w:rPr>
        <w:t xml:space="preserve"> (e.g., a PUSCH)</w:t>
      </w:r>
      <w:r>
        <w:rPr>
          <w:rFonts w:hint="eastAsia" w:eastAsia="宋体"/>
        </w:rPr>
        <w:t xml:space="preserve"> can be </w:t>
      </w:r>
      <w:r>
        <w:rPr>
          <w:rFonts w:hint="eastAsia" w:eastAsia="宋体"/>
          <w:u w:val="single"/>
        </w:rPr>
        <w:t>transmitted in the same slot</w:t>
      </w:r>
      <w:r>
        <w:rPr>
          <w:rFonts w:eastAsia="宋体"/>
        </w:rPr>
        <w:t xml:space="preserve">, which means that the reporting latency can be limited to OFDM-symbol level. </w:t>
      </w:r>
    </w:p>
    <w:p>
      <w:pPr>
        <w:snapToGrid w:val="0"/>
        <w:spacing w:before="72" w:beforeLines="30" w:after="72" w:afterLines="30" w:line="288" w:lineRule="auto"/>
        <w:jc w:val="center"/>
      </w:pPr>
      <w:r>
        <w:rPr>
          <w:sz w:val="21"/>
        </w:rPr>
        <w:object>
          <v:shape id="_x0000_i1025" o:spt="75" type="#_x0000_t75" style="height:141.25pt;width:466.9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napToGrid w:val="0"/>
        <w:spacing w:before="72" w:beforeLines="30" w:after="72" w:afterLines="30" w:line="288" w:lineRule="auto"/>
        <w:ind w:firstLine="1000" w:firstLineChars="500"/>
        <w:jc w:val="both"/>
        <w:rPr>
          <w:rFonts w:eastAsia="宋体"/>
        </w:rPr>
      </w:pPr>
      <w:r>
        <w:rPr>
          <w:rFonts w:hint="eastAsia" w:eastAsia="宋体"/>
        </w:rPr>
        <w:t>(a)</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 xml:space="preserve">              (b)</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 xml:space="preserve"> </w:t>
      </w:r>
      <w:r>
        <w:rPr>
          <w:rFonts w:hint="eastAsia" w:eastAsia="宋体"/>
        </w:rPr>
        <w:tab/>
      </w:r>
      <w:r>
        <w:rPr>
          <w:rFonts w:hint="eastAsia" w:eastAsia="宋体"/>
        </w:rPr>
        <w:tab/>
      </w:r>
      <w:r>
        <w:rPr>
          <w:rFonts w:hint="eastAsia" w:eastAsia="宋体"/>
        </w:rPr>
        <w:tab/>
      </w:r>
      <w:r>
        <w:rPr>
          <w:rFonts w:hint="eastAsia" w:eastAsia="宋体"/>
        </w:rPr>
        <w:t xml:space="preserve">       (c)</w:t>
      </w:r>
    </w:p>
    <w:p>
      <w:p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UE-initiated beam reporting procedure: (a) MAC</w:t>
      </w:r>
      <w:r>
        <w:rPr>
          <w:rFonts w:eastAsia="宋体"/>
        </w:rPr>
        <w:t>-</w:t>
      </w:r>
      <w:r>
        <w:rPr>
          <w:rFonts w:hint="eastAsia" w:eastAsia="宋体"/>
        </w:rPr>
        <w:t xml:space="preserve">CE when no available UL resource; (b) UCI </w:t>
      </w:r>
      <w:r>
        <w:rPr>
          <w:rFonts w:eastAsia="宋体"/>
        </w:rPr>
        <w:t>in</w:t>
      </w:r>
      <w:r>
        <w:rPr>
          <w:rFonts w:hint="eastAsia" w:eastAsia="宋体"/>
        </w:rPr>
        <w:t xml:space="preserve"> </w:t>
      </w:r>
      <w:r>
        <w:rPr>
          <w:rFonts w:eastAsia="宋体"/>
        </w:rPr>
        <w:t xml:space="preserve">a </w:t>
      </w:r>
      <w:r>
        <w:rPr>
          <w:rFonts w:hint="eastAsia" w:eastAsia="宋体"/>
        </w:rPr>
        <w:t xml:space="preserve">dynamically scheduled UL resource; (c) UCI </w:t>
      </w:r>
      <w:r>
        <w:rPr>
          <w:rFonts w:eastAsia="宋体"/>
        </w:rPr>
        <w:t>in</w:t>
      </w:r>
      <w:r>
        <w:rPr>
          <w:rFonts w:hint="eastAsia" w:eastAsia="宋体"/>
        </w:rPr>
        <w:t xml:space="preserve"> </w:t>
      </w:r>
      <w:r>
        <w:rPr>
          <w:rFonts w:eastAsia="宋体"/>
        </w:rPr>
        <w:t xml:space="preserve">a </w:t>
      </w:r>
      <w:r>
        <w:rPr>
          <w:rFonts w:hint="eastAsia" w:eastAsia="宋体"/>
        </w:rPr>
        <w:t>pre-configured UL resource</w:t>
      </w:r>
    </w:p>
    <w:p>
      <w:pPr>
        <w:snapToGrid w:val="0"/>
        <w:spacing w:before="72" w:beforeLines="30" w:after="72" w:afterLines="30" w:line="288" w:lineRule="auto"/>
        <w:ind w:left="-20"/>
        <w:jc w:val="both"/>
        <w:rPr>
          <w:i/>
          <w:iCs/>
        </w:rPr>
      </w:pPr>
      <w:r>
        <w:rPr>
          <w:rFonts w:hint="eastAsia"/>
          <w:b/>
          <w:bCs/>
          <w:i/>
          <w:iCs/>
        </w:rPr>
        <w:t xml:space="preserve">Observation </w:t>
      </w:r>
      <w:r>
        <w:rPr>
          <w:rFonts w:hint="eastAsia" w:eastAsia="宋体"/>
          <w:b/>
          <w:bCs/>
          <w:i/>
          <w:iCs/>
        </w:rPr>
        <w:t>1</w:t>
      </w:r>
      <w:r>
        <w:rPr>
          <w:rFonts w:hint="eastAsia"/>
          <w:b/>
          <w:bCs/>
          <w:i/>
          <w:iCs/>
        </w:rPr>
        <w:t>:</w:t>
      </w:r>
      <w:r>
        <w:rPr>
          <w:rFonts w:hint="eastAsia"/>
          <w:i/>
          <w:iCs/>
        </w:rPr>
        <w:t xml:space="preserve"> </w:t>
      </w:r>
      <w:r>
        <w:rPr>
          <w:i/>
          <w:iCs/>
        </w:rPr>
        <w:t>In terms of report latency, due to saving one additional step and supporting first and second channel allocated in a same uplink slot (e.g., neighboring to each other in time), Option-3 (</w:t>
      </w:r>
      <w:r>
        <w:rPr>
          <w:i/>
          <w:iCs/>
          <w:sz w:val="21"/>
        </w:rPr>
        <w:t xml:space="preserve">UCI in </w:t>
      </w:r>
      <w:r>
        <w:rPr>
          <w:i/>
          <w:iCs/>
        </w:rPr>
        <w:t xml:space="preserve">a </w:t>
      </w:r>
      <w:r>
        <w:rPr>
          <w:i/>
          <w:iCs/>
          <w:sz w:val="21"/>
        </w:rPr>
        <w:t>pre-configured resource</w:t>
      </w:r>
      <w:r>
        <w:rPr>
          <w:i/>
          <w:iCs/>
        </w:rPr>
        <w:t>) significantly outperforms Option-1 (MAC-CE) and Option-2 (</w:t>
      </w:r>
      <w:r>
        <w:rPr>
          <w:rFonts w:hint="eastAsia"/>
          <w:i/>
          <w:iCs/>
        </w:rPr>
        <w:t xml:space="preserve">UCI </w:t>
      </w:r>
      <w:r>
        <w:rPr>
          <w:i/>
          <w:iCs/>
        </w:rPr>
        <w:t>in</w:t>
      </w:r>
      <w:r>
        <w:rPr>
          <w:rFonts w:hint="eastAsia"/>
          <w:i/>
          <w:iCs/>
        </w:rPr>
        <w:t xml:space="preserve"> dynamically scheduled UL resource</w:t>
      </w:r>
      <w:r>
        <w:rPr>
          <w:i/>
          <w:iCs/>
        </w:rPr>
        <w:t>).</w:t>
      </w:r>
    </w:p>
    <w:p>
      <w:pPr>
        <w:snapToGrid w:val="0"/>
        <w:spacing w:before="72" w:beforeLines="30" w:after="72" w:afterLines="30" w:line="288" w:lineRule="auto"/>
        <w:jc w:val="both"/>
        <w:rPr>
          <w:rFonts w:eastAsia="宋体"/>
        </w:rPr>
      </w:pPr>
      <w:r>
        <w:rPr>
          <w:rFonts w:eastAsia="宋体"/>
        </w:rPr>
        <w:t>Regarding reporting overhead, Option-2 and O</w:t>
      </w:r>
      <w:r>
        <w:rPr>
          <w:rFonts w:hint="eastAsia" w:eastAsia="宋体"/>
        </w:rPr>
        <w:t>ption</w:t>
      </w:r>
      <w:r>
        <w:rPr>
          <w:rFonts w:eastAsia="宋体"/>
        </w:rPr>
        <w:t>-</w:t>
      </w:r>
      <w:r>
        <w:rPr>
          <w:rFonts w:hint="eastAsia" w:eastAsia="宋体"/>
        </w:rPr>
        <w:t>3</w:t>
      </w:r>
      <w:r>
        <w:rPr>
          <w:rFonts w:eastAsia="宋体"/>
        </w:rPr>
        <w:t xml:space="preserve"> with PUSCH as for a second channel</w:t>
      </w:r>
      <w:r>
        <w:rPr>
          <w:rFonts w:hint="eastAsia" w:eastAsia="宋体"/>
        </w:rPr>
        <w:t xml:space="preserve"> has the </w:t>
      </w:r>
      <w:r>
        <w:rPr>
          <w:rFonts w:eastAsia="宋体"/>
        </w:rPr>
        <w:t>lower</w:t>
      </w:r>
      <w:r>
        <w:rPr>
          <w:rFonts w:hint="eastAsia" w:eastAsia="宋体"/>
        </w:rPr>
        <w:t xml:space="preserve"> </w:t>
      </w:r>
      <w:r>
        <w:rPr>
          <w:rFonts w:eastAsia="宋体"/>
        </w:rPr>
        <w:t>report overhead compared with Option-1, while considering multi-UEs co-existence from the NW perspective. Specifically, we have the following elaborations:</w:t>
      </w:r>
    </w:p>
    <w:p>
      <w:pPr>
        <w:numPr>
          <w:ilvl w:val="0"/>
          <w:numId w:val="13"/>
        </w:numPr>
        <w:tabs>
          <w:tab w:val="left" w:pos="0"/>
          <w:tab w:val="clear" w:pos="-420"/>
        </w:tabs>
        <w:snapToGrid w:val="0"/>
        <w:spacing w:before="72" w:beforeLines="30" w:after="72" w:afterLines="30" w:line="288" w:lineRule="auto"/>
        <w:jc w:val="both"/>
        <w:rPr>
          <w:rFonts w:eastAsia="宋体"/>
          <w:b/>
          <w:bCs/>
        </w:rPr>
      </w:pPr>
      <w:r>
        <w:rPr>
          <w:rFonts w:hint="eastAsia" w:eastAsia="宋体"/>
          <w:b/>
          <w:bCs/>
        </w:rPr>
        <w:t>Option 1: UE-initiated beam report is contained in MAC</w:t>
      </w:r>
      <w:r>
        <w:rPr>
          <w:rFonts w:eastAsia="宋体"/>
          <w:b/>
          <w:bCs/>
        </w:rPr>
        <w:t>-</w:t>
      </w:r>
      <w:r>
        <w:rPr>
          <w:rFonts w:hint="eastAsia" w:eastAsia="宋体"/>
          <w:b/>
          <w:bCs/>
        </w:rPr>
        <w:t>CE</w:t>
      </w:r>
    </w:p>
    <w:p>
      <w:pPr>
        <w:numPr>
          <w:ilvl w:val="1"/>
          <w:numId w:val="13"/>
        </w:numPr>
        <w:tabs>
          <w:tab w:val="left" w:pos="0"/>
          <w:tab w:val="clear" w:pos="-420"/>
        </w:tabs>
        <w:snapToGrid w:val="0"/>
        <w:spacing w:before="72" w:beforeLines="30" w:after="72" w:afterLines="30" w:line="288" w:lineRule="auto"/>
        <w:jc w:val="both"/>
        <w:rPr>
          <w:rFonts w:eastAsia="宋体"/>
        </w:rPr>
      </w:pPr>
      <w:r>
        <w:rPr>
          <w:rFonts w:hint="eastAsia" w:eastAsia="宋体"/>
        </w:rPr>
        <w:t>The UL-SCH transport block for a MAC</w:t>
      </w:r>
      <w:r>
        <w:rPr>
          <w:rFonts w:eastAsia="宋体"/>
        </w:rPr>
        <w:t>-</w:t>
      </w:r>
      <w:r>
        <w:rPr>
          <w:rFonts w:hint="eastAsia" w:eastAsia="宋体"/>
        </w:rPr>
        <w:t>CE can be transmitted on an available PUSCH resource which is not configured or scheduled for the MAC</w:t>
      </w:r>
      <w:r>
        <w:rPr>
          <w:rFonts w:eastAsia="宋体"/>
        </w:rPr>
        <w:t>-</w:t>
      </w:r>
      <w:r>
        <w:rPr>
          <w:rFonts w:hint="eastAsia" w:eastAsia="宋体"/>
        </w:rPr>
        <w:t>CE specifically. Only when PUSCH resource is not available for the MAC</w:t>
      </w:r>
      <w:r>
        <w:rPr>
          <w:rFonts w:eastAsia="宋体"/>
        </w:rPr>
        <w:t>-</w:t>
      </w:r>
      <w:r>
        <w:rPr>
          <w:rFonts w:hint="eastAsia" w:eastAsia="宋体"/>
        </w:rPr>
        <w:t>CE transmission, UE requests an uplink resource by triggering an SR.</w:t>
      </w:r>
      <w:r>
        <w:rPr>
          <w:rFonts w:eastAsia="宋体"/>
        </w:rPr>
        <w:t xml:space="preserve"> However, MAC-CE header is additional overhead over UCI.</w:t>
      </w:r>
    </w:p>
    <w:p>
      <w:pPr>
        <w:numPr>
          <w:ilvl w:val="0"/>
          <w:numId w:val="13"/>
        </w:numPr>
        <w:snapToGrid w:val="0"/>
        <w:spacing w:before="72" w:beforeLines="30" w:after="72" w:afterLines="30" w:line="288" w:lineRule="auto"/>
        <w:jc w:val="both"/>
        <w:rPr>
          <w:rFonts w:eastAsia="宋体"/>
          <w:b/>
          <w:bCs/>
        </w:rPr>
      </w:pPr>
      <w:r>
        <w:rPr>
          <w:rFonts w:hint="eastAsia" w:eastAsia="宋体"/>
          <w:b/>
          <w:bCs/>
        </w:rPr>
        <w:t>Option 2: UEIBR via UCI on dynamically scheduled UL resources</w:t>
      </w:r>
    </w:p>
    <w:p>
      <w:pPr>
        <w:numPr>
          <w:ilvl w:val="1"/>
          <w:numId w:val="13"/>
        </w:numPr>
        <w:snapToGrid w:val="0"/>
        <w:spacing w:before="72" w:beforeLines="30" w:after="72" w:afterLines="30" w:line="288" w:lineRule="auto"/>
        <w:jc w:val="both"/>
        <w:rPr>
          <w:rFonts w:eastAsia="宋体"/>
        </w:rPr>
      </w:pPr>
      <w:r>
        <w:rPr>
          <w:rFonts w:hint="eastAsia" w:eastAsia="宋体"/>
        </w:rPr>
        <w:t xml:space="preserve">In Option 2, upon an event triggered, after transmitting a BRN to request dedicated uplink resource for beam report transmission, UE detects DCI scheduling an uplink resource to carry the UEIBR. Except </w:t>
      </w:r>
      <w:r>
        <w:rPr>
          <w:rFonts w:eastAsia="宋体"/>
        </w:rPr>
        <w:t xml:space="preserve">for </w:t>
      </w:r>
      <w:r>
        <w:rPr>
          <w:rFonts w:hint="eastAsia" w:eastAsia="宋体"/>
        </w:rPr>
        <w:t>the BRN transmission, Option 2 is similar as AP-CSI report triggering or SP-CSI report activation</w:t>
      </w:r>
      <w:r>
        <w:rPr>
          <w:rFonts w:eastAsia="宋体"/>
        </w:rPr>
        <w:t>, and there is no redundant report.</w:t>
      </w:r>
    </w:p>
    <w:p>
      <w:pPr>
        <w:numPr>
          <w:ilvl w:val="0"/>
          <w:numId w:val="13"/>
        </w:numPr>
        <w:snapToGrid w:val="0"/>
        <w:spacing w:before="72" w:beforeLines="30" w:after="72" w:afterLines="30" w:line="288" w:lineRule="auto"/>
        <w:jc w:val="both"/>
        <w:rPr>
          <w:rFonts w:eastAsia="宋体"/>
          <w:b/>
          <w:bCs/>
        </w:rPr>
      </w:pPr>
      <w:r>
        <w:rPr>
          <w:rFonts w:hint="eastAsia" w:eastAsia="宋体"/>
          <w:b/>
          <w:bCs/>
        </w:rPr>
        <w:t>Option 3:</w:t>
      </w:r>
      <w:r>
        <w:rPr>
          <w:rFonts w:hint="eastAsia"/>
          <w:b/>
          <w:bCs/>
        </w:rPr>
        <w:t xml:space="preserve"> </w:t>
      </w:r>
      <w:r>
        <w:rPr>
          <w:rFonts w:hint="eastAsia" w:eastAsia="宋体"/>
          <w:b/>
          <w:bCs/>
        </w:rPr>
        <w:t>UEIBR via UCI on pre-configured UL resources</w:t>
      </w:r>
    </w:p>
    <w:p>
      <w:pPr>
        <w:numPr>
          <w:ilvl w:val="1"/>
          <w:numId w:val="13"/>
        </w:numPr>
        <w:snapToGrid w:val="0"/>
        <w:spacing w:before="72" w:beforeLines="30" w:after="72" w:afterLines="30" w:line="288" w:lineRule="auto"/>
        <w:jc w:val="both"/>
        <w:rPr>
          <w:rFonts w:eastAsia="宋体"/>
        </w:rPr>
      </w:pPr>
      <w:r>
        <w:rPr>
          <w:rFonts w:eastAsia="宋体"/>
        </w:rPr>
        <w:t xml:space="preserve">Case-1: Second channel is based on </w:t>
      </w:r>
      <w:r>
        <w:rPr>
          <w:rFonts w:hint="eastAsia" w:eastAsia="宋体"/>
        </w:rPr>
        <w:t>PUCCH</w:t>
      </w:r>
    </w:p>
    <w:p>
      <w:pPr>
        <w:numPr>
          <w:ilvl w:val="2"/>
          <w:numId w:val="13"/>
        </w:numPr>
        <w:snapToGrid w:val="0"/>
        <w:spacing w:before="72" w:beforeLines="30" w:after="72" w:afterLines="30" w:line="288" w:lineRule="auto"/>
        <w:jc w:val="both"/>
        <w:rPr>
          <w:rFonts w:eastAsia="宋体"/>
        </w:rPr>
      </w:pPr>
      <w:r>
        <w:rPr>
          <w:rFonts w:eastAsia="宋体"/>
        </w:rPr>
        <w:t xml:space="preserve">In such case, we may have to use </w:t>
      </w:r>
      <w:r>
        <w:rPr>
          <w:rFonts w:hint="eastAsia" w:eastAsia="宋体"/>
        </w:rPr>
        <w:t>PUCCH format 2/3/4,</w:t>
      </w:r>
      <w:r>
        <w:rPr>
          <w:rFonts w:eastAsia="宋体"/>
        </w:rPr>
        <w:t xml:space="preserve"> where</w:t>
      </w:r>
      <w:r>
        <w:rPr>
          <w:rFonts w:hint="eastAsia" w:eastAsia="宋体"/>
        </w:rPr>
        <w:t xml:space="preserve"> the number of PRBs and symbols can be configured for a PUCCH resource. The number of RBs used for mapping the coded UCI bits are determined based on the UCI size after encoding and rate matching</w:t>
      </w:r>
      <w:r>
        <w:rPr>
          <w:rFonts w:eastAsia="宋体"/>
        </w:rPr>
        <w:t xml:space="preserve">. The pre-configured resource should be dedicated to a UE, and if gNB rescheduling for the corresponding resource is allowed, the latency will be increased again. </w:t>
      </w:r>
    </w:p>
    <w:p>
      <w:pPr>
        <w:numPr>
          <w:ilvl w:val="1"/>
          <w:numId w:val="13"/>
        </w:numPr>
        <w:snapToGrid w:val="0"/>
        <w:spacing w:before="72" w:beforeLines="30" w:after="72" w:afterLines="30" w:line="288" w:lineRule="auto"/>
        <w:jc w:val="both"/>
        <w:rPr>
          <w:rFonts w:eastAsia="宋体"/>
        </w:rPr>
      </w:pPr>
      <w:r>
        <w:rPr>
          <w:rFonts w:eastAsia="宋体"/>
        </w:rPr>
        <w:t>Case-2: Second channel is based on PUSCH</w:t>
      </w:r>
    </w:p>
    <w:p>
      <w:pPr>
        <w:numPr>
          <w:ilvl w:val="2"/>
          <w:numId w:val="13"/>
        </w:numPr>
        <w:snapToGrid w:val="0"/>
        <w:spacing w:before="72" w:beforeLines="30" w:after="72" w:afterLines="30" w:line="288" w:lineRule="auto"/>
        <w:jc w:val="both"/>
        <w:rPr>
          <w:rFonts w:eastAsia="宋体"/>
        </w:rPr>
      </w:pPr>
      <w:r>
        <w:rPr>
          <w:rFonts w:hint="eastAsia" w:eastAsia="宋体"/>
        </w:rPr>
        <w:t xml:space="preserve">Different from PUCCH, a PUSCH resource can be mapped with data bits and/or UCI bits. For AP/SP CSI report on PUSCH and the PUSCH </w:t>
      </w:r>
      <w:r>
        <w:rPr>
          <w:rFonts w:eastAsia="宋体"/>
        </w:rPr>
        <w:t>can be</w:t>
      </w:r>
      <w:r>
        <w:rPr>
          <w:rFonts w:hint="eastAsia" w:eastAsia="宋体"/>
        </w:rPr>
        <w:t xml:space="preserve"> indicated to be without UL-SCH, only CSI bits are mapped on the PUSCH resources.</w:t>
      </w:r>
      <w:r>
        <w:rPr>
          <w:rFonts w:eastAsia="宋体"/>
        </w:rPr>
        <w:t xml:space="preserve"> Besides, </w:t>
      </w:r>
      <w:r>
        <w:rPr>
          <w:rFonts w:hint="eastAsia" w:eastAsia="宋体"/>
        </w:rPr>
        <w:t xml:space="preserve">in order to avoid further discussion on data and control multiplexing rules as specified in TS 38.212 clause 6.2.7, </w:t>
      </w:r>
      <w:r>
        <w:rPr>
          <w:rFonts w:eastAsia="宋体"/>
        </w:rPr>
        <w:t xml:space="preserve">similarly, </w:t>
      </w:r>
      <w:r>
        <w:rPr>
          <w:rFonts w:hint="eastAsia" w:eastAsia="宋体"/>
        </w:rPr>
        <w:t xml:space="preserve">the pre-configured PUSCH resources without UL-SCH transport block </w:t>
      </w:r>
      <w:r>
        <w:rPr>
          <w:rFonts w:eastAsia="宋体"/>
        </w:rPr>
        <w:t xml:space="preserve">is also preferred </w:t>
      </w:r>
      <w:r>
        <w:rPr>
          <w:rFonts w:hint="eastAsia" w:eastAsia="宋体"/>
        </w:rPr>
        <w:t>for UEIBR transmission.</w:t>
      </w:r>
    </w:p>
    <w:p>
      <w:pPr>
        <w:numPr>
          <w:ilvl w:val="2"/>
          <w:numId w:val="13"/>
        </w:numPr>
        <w:snapToGrid w:val="0"/>
        <w:spacing w:before="72" w:beforeLines="30" w:after="72" w:afterLines="30" w:line="288" w:lineRule="auto"/>
        <w:jc w:val="both"/>
        <w:rPr>
          <w:rFonts w:eastAsia="宋体"/>
        </w:rPr>
      </w:pPr>
      <w:r>
        <w:rPr>
          <w:rFonts w:eastAsia="宋体"/>
        </w:rPr>
        <w:t>Due to enabling UL MU-MIMO, while considering that probability of UEIBR transmission is quite low, the pre-configured resource(s) can be shared with multi-users with a reasonable collision ratio</w:t>
      </w:r>
      <w:r>
        <w:rPr>
          <w:rFonts w:hint="eastAsia" w:eastAsia="宋体"/>
        </w:rPr>
        <w:t>.</w:t>
      </w:r>
    </w:p>
    <w:p>
      <w:pPr>
        <w:numPr>
          <w:ilvl w:val="3"/>
          <w:numId w:val="14"/>
        </w:numPr>
        <w:snapToGrid w:val="0"/>
        <w:spacing w:before="72" w:beforeLines="30" w:after="72" w:afterLines="30" w:line="288" w:lineRule="auto"/>
        <w:jc w:val="both"/>
        <w:rPr>
          <w:rFonts w:eastAsia="宋体"/>
        </w:rPr>
      </w:pPr>
      <w:r>
        <w:rPr>
          <w:rFonts w:hint="eastAsia" w:eastAsia="宋体"/>
        </w:rPr>
        <w:t xml:space="preserve">To take </w:t>
      </w:r>
      <w:r>
        <w:rPr>
          <w:rFonts w:eastAsia="宋体"/>
        </w:rPr>
        <w:t>h</w:t>
      </w:r>
      <w:r>
        <w:rPr>
          <w:rFonts w:hint="eastAsia" w:eastAsia="宋体"/>
        </w:rPr>
        <w:t>igh</w:t>
      </w:r>
      <w:r>
        <w:rPr>
          <w:rFonts w:eastAsia="宋体"/>
        </w:rPr>
        <w:t>-</w:t>
      </w:r>
      <w:r>
        <w:rPr>
          <w:rFonts w:hint="eastAsia" w:eastAsia="宋体"/>
        </w:rPr>
        <w:t xml:space="preserve">speed scenario as an example, based on SLS assumption for </w:t>
      </w:r>
      <w:r>
        <w:rPr>
          <w:rFonts w:eastAsia="宋体"/>
        </w:rPr>
        <w:t xml:space="preserve">Rel-17 </w:t>
      </w:r>
      <w:r>
        <w:rPr>
          <w:rFonts w:hint="eastAsia" w:eastAsia="宋体"/>
        </w:rPr>
        <w:t>intra-cell mobility in dense urban scenario [3], assumed that UE speed is 120km/h</w:t>
      </w:r>
      <w:r>
        <w:rPr>
          <w:rFonts w:eastAsia="宋体"/>
        </w:rPr>
        <w:t xml:space="preserve"> and</w:t>
      </w:r>
      <w:r>
        <w:rPr>
          <w:rFonts w:hint="eastAsia" w:eastAsia="宋体"/>
        </w:rPr>
        <w:t xml:space="preserve"> BS </w:t>
      </w:r>
      <w:r>
        <w:rPr>
          <w:rFonts w:eastAsia="宋体"/>
        </w:rPr>
        <w:t>a</w:t>
      </w:r>
      <w:r>
        <w:rPr>
          <w:rFonts w:hint="eastAsia" w:eastAsia="宋体"/>
        </w:rPr>
        <w:t xml:space="preserve">ntenna </w:t>
      </w:r>
      <w:r>
        <w:rPr>
          <w:rFonts w:eastAsia="宋体"/>
        </w:rPr>
        <w:t>c</w:t>
      </w:r>
      <w:r>
        <w:rPr>
          <w:rFonts w:hint="eastAsia" w:eastAsia="宋体"/>
        </w:rPr>
        <w:t>onfiguration is (M, N, P, Mg, Ng) = (4, 8, 2, 2, 2), UE moves from Point P to Q as</w:t>
      </w:r>
      <w:r>
        <w:rPr>
          <w:rFonts w:eastAsia="宋体"/>
        </w:rPr>
        <w:t xml:space="preserve"> shown</w:t>
      </w:r>
      <w:r>
        <w:rPr>
          <w:rFonts w:hint="eastAsia" w:eastAsia="宋体"/>
        </w:rPr>
        <w:t xml:space="preserve"> in Figure 2.  Then, </w:t>
      </w:r>
      <w:r>
        <w:rPr>
          <w:rFonts w:eastAsia="宋体"/>
        </w:rPr>
        <w:t>it takes</w:t>
      </w:r>
      <w:r>
        <w:rPr>
          <w:rFonts w:hint="eastAsia" w:eastAsia="宋体"/>
        </w:rPr>
        <w:t xml:space="preserve"> 3.12s moving the P-to-Q distance (i.e., 104m). If the reporting period is 20ms and the number of BS side beams in horizontal direction is 8, the reporting probability is about 5.1%.</w:t>
      </w:r>
    </w:p>
    <w:p>
      <w:pPr>
        <w:numPr>
          <w:ilvl w:val="3"/>
          <w:numId w:val="14"/>
        </w:numPr>
        <w:snapToGrid w:val="0"/>
        <w:spacing w:before="72" w:beforeLines="30" w:after="72" w:afterLines="30" w:line="288" w:lineRule="auto"/>
        <w:jc w:val="both"/>
        <w:rPr>
          <w:rFonts w:eastAsia="宋体"/>
        </w:rPr>
      </w:pPr>
      <w:r>
        <w:rPr>
          <w:rFonts w:hint="eastAsia" w:eastAsia="宋体"/>
        </w:rPr>
        <w:t xml:space="preserve">On top of the above analysis, the probability of reporting collision with other UEs in the case the number of UEs operated with MU-MIMO is 4 and 8 can be shown in Figure 3. It can be concluded that the number of UEs colliding with a UE is basically </w:t>
      </w:r>
      <w:r>
        <w:rPr>
          <w:rFonts w:eastAsia="宋体"/>
        </w:rPr>
        <w:t>not greater</w:t>
      </w:r>
      <w:r>
        <w:rPr>
          <w:rFonts w:hint="eastAsia" w:eastAsia="宋体"/>
        </w:rPr>
        <w:t xml:space="preserve"> than 2, and reception of PUSCH transmissions from </w:t>
      </w:r>
      <w:r>
        <w:rPr>
          <w:rFonts w:eastAsia="宋体"/>
        </w:rPr>
        <w:t>single-layer</w:t>
      </w:r>
      <w:r>
        <w:rPr>
          <w:rFonts w:hint="eastAsia" w:eastAsia="宋体"/>
        </w:rPr>
        <w:t xml:space="preserve"> </w:t>
      </w:r>
      <w:r>
        <w:rPr>
          <w:rFonts w:eastAsia="宋体"/>
        </w:rPr>
        <w:t>CG-PUSCH(s) from three or less UEs can be well handled by current NW UL MU-MIMO receiver</w:t>
      </w:r>
      <w:r>
        <w:rPr>
          <w:rFonts w:hint="eastAsia" w:eastAsia="宋体"/>
        </w:rPr>
        <w:t xml:space="preserve">. However, for PUCCH transmission, </w:t>
      </w:r>
      <w:r>
        <w:rPr>
          <w:rFonts w:eastAsia="宋体"/>
        </w:rPr>
        <w:t>due to lack of orthogonal DMRS ports as PUSCH, failure detection upon c</w:t>
      </w:r>
      <w:r>
        <w:rPr>
          <w:rFonts w:hint="eastAsia" w:eastAsia="宋体"/>
        </w:rPr>
        <w:t xml:space="preserve">ollision </w:t>
      </w:r>
      <w:r>
        <w:rPr>
          <w:rFonts w:eastAsia="宋体"/>
        </w:rPr>
        <w:t xml:space="preserve">may occur (i.e., </w:t>
      </w:r>
      <w:r>
        <w:rPr>
          <w:rFonts w:hint="eastAsia" w:eastAsia="宋体"/>
        </w:rPr>
        <w:t>t</w:t>
      </w:r>
      <w:r>
        <w:rPr>
          <w:rFonts w:eastAsia="宋体"/>
        </w:rPr>
        <w:t>he number of UEs colliding with a UE is equal to or more than 1)</w:t>
      </w:r>
      <w:r>
        <w:rPr>
          <w:rFonts w:hint="eastAsia" w:eastAsia="宋体"/>
        </w:rPr>
        <w:t>.</w:t>
      </w:r>
    </w:p>
    <w:p>
      <w:pPr>
        <w:snapToGrid w:val="0"/>
        <w:spacing w:before="72" w:beforeLines="30" w:after="72" w:afterLines="30" w:line="288" w:lineRule="auto"/>
        <w:jc w:val="center"/>
        <w:rPr>
          <w:sz w:val="18"/>
          <w:szCs w:val="18"/>
        </w:rPr>
      </w:pPr>
      <w:r>
        <w:rPr>
          <w:sz w:val="18"/>
          <w:szCs w:val="18"/>
        </w:rPr>
        <w:object>
          <v:shape id="_x0000_i1026" o:spt="75" type="#_x0000_t75" style="height:172.9pt;width:201.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snapToGrid w:val="0"/>
        <w:spacing w:before="72" w:beforeLines="30" w:after="72" w:afterLines="30" w:line="288" w:lineRule="auto"/>
        <w:jc w:val="center"/>
        <w:rPr>
          <w:rFonts w:eastAsia="宋体"/>
          <w:sz w:val="18"/>
          <w:szCs w:val="18"/>
        </w:rPr>
      </w:pPr>
      <w:r>
        <w:rPr>
          <w:rFonts w:hint="eastAsia" w:eastAsia="宋体"/>
          <w:b/>
          <w:bCs/>
        </w:rPr>
        <w:t>Figure 2</w:t>
      </w:r>
      <w:r>
        <w:rPr>
          <w:rFonts w:hint="eastAsia" w:eastAsia="宋体"/>
        </w:rPr>
        <w:t xml:space="preserve"> UE Mobility and trajectory in scenario of High speed in Dense urban</w:t>
      </w:r>
    </w:p>
    <w:p>
      <w:pPr>
        <w:tabs>
          <w:tab w:val="left" w:pos="-420"/>
        </w:tabs>
        <w:snapToGrid w:val="0"/>
        <w:spacing w:before="72" w:beforeLines="30" w:after="72" w:afterLines="30" w:line="288" w:lineRule="auto"/>
        <w:jc w:val="both"/>
        <w:rPr>
          <w:rFonts w:eastAsia="宋体"/>
        </w:rPr>
      </w:pPr>
      <w:r>
        <w:rPr>
          <w:rFonts w:hint="eastAsia" w:eastAsia="宋体"/>
        </w:rPr>
        <w:drawing>
          <wp:inline distT="0" distB="0" distL="114300" distR="114300">
            <wp:extent cx="2654935" cy="1452880"/>
            <wp:effectExtent l="0" t="0" r="12065" b="13970"/>
            <wp:docPr id="1" name="图片 4" descr="Pcolli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colli4"/>
                    <pic:cNvPicPr>
                      <a:picLocks noChangeAspect="1"/>
                    </pic:cNvPicPr>
                  </pic:nvPicPr>
                  <pic:blipFill>
                    <a:blip r:embed="rId10"/>
                    <a:stretch>
                      <a:fillRect/>
                    </a:stretch>
                  </pic:blipFill>
                  <pic:spPr>
                    <a:xfrm>
                      <a:off x="0" y="0"/>
                      <a:ext cx="2654935" cy="1452880"/>
                    </a:xfrm>
                    <a:prstGeom prst="rect">
                      <a:avLst/>
                    </a:prstGeom>
                  </pic:spPr>
                </pic:pic>
              </a:graphicData>
            </a:graphic>
          </wp:inline>
        </w:drawing>
      </w:r>
      <w:r>
        <w:rPr>
          <w:rFonts w:hint="eastAsia" w:eastAsia="宋体"/>
        </w:rPr>
        <w:t xml:space="preserve"> </w:t>
      </w:r>
      <w:r>
        <w:rPr>
          <w:rFonts w:hint="eastAsia" w:eastAsia="宋体"/>
        </w:rPr>
        <w:drawing>
          <wp:inline distT="0" distB="0" distL="114300" distR="114300">
            <wp:extent cx="3068320" cy="1458595"/>
            <wp:effectExtent l="0" t="0" r="17780" b="8255"/>
            <wp:docPr id="2" name="图片 3" descr="Pcolli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Pcolli8"/>
                    <pic:cNvPicPr>
                      <a:picLocks noChangeAspect="1"/>
                    </pic:cNvPicPr>
                  </pic:nvPicPr>
                  <pic:blipFill>
                    <a:blip r:embed="rId11"/>
                    <a:stretch>
                      <a:fillRect/>
                    </a:stretch>
                  </pic:blipFill>
                  <pic:spPr>
                    <a:xfrm>
                      <a:off x="0" y="0"/>
                      <a:ext cx="3068320" cy="1458595"/>
                    </a:xfrm>
                    <a:prstGeom prst="rect">
                      <a:avLst/>
                    </a:prstGeom>
                  </pic:spPr>
                </pic:pic>
              </a:graphicData>
            </a:graphic>
          </wp:inline>
        </w:drawing>
      </w:r>
    </w:p>
    <w:p>
      <w:pPr>
        <w:tabs>
          <w:tab w:val="left" w:pos="-420"/>
        </w:tabs>
        <w:snapToGrid w:val="0"/>
        <w:spacing w:before="72" w:beforeLines="30" w:after="72" w:afterLines="30" w:line="288" w:lineRule="auto"/>
        <w:rPr>
          <w:rFonts w:eastAsia="宋体"/>
        </w:rPr>
      </w:pP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 xml:space="preserve">(a) </w:t>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ab/>
      </w:r>
      <w:r>
        <w:rPr>
          <w:rFonts w:hint="eastAsia" w:eastAsia="宋体"/>
        </w:rPr>
        <w:t>(b)</w:t>
      </w:r>
    </w:p>
    <w:p>
      <w:pPr>
        <w:tabs>
          <w:tab w:val="left" w:pos="-420"/>
        </w:tabs>
        <w:snapToGrid w:val="0"/>
        <w:spacing w:before="72" w:beforeLines="30" w:after="72" w:afterLines="30" w:line="288" w:lineRule="auto"/>
        <w:jc w:val="center"/>
        <w:rPr>
          <w:rFonts w:eastAsia="宋体"/>
        </w:rPr>
      </w:pPr>
      <w:r>
        <w:rPr>
          <w:rFonts w:hint="eastAsia" w:eastAsia="宋体"/>
          <w:b/>
          <w:bCs/>
        </w:rPr>
        <w:t>Figure 3</w:t>
      </w:r>
      <w:r>
        <w:rPr>
          <w:rFonts w:hint="eastAsia" w:eastAsia="宋体"/>
        </w:rPr>
        <w:t xml:space="preserve"> Probability of Transmission Collision, (a) the number of UEs operated with MU-MIMO is 4, (b) the number of UEs operated with MU-MIMO is 8</w:t>
      </w:r>
    </w:p>
    <w:p>
      <w:pPr>
        <w:snapToGrid w:val="0"/>
        <w:spacing w:before="72" w:beforeLines="30" w:after="72" w:afterLines="30" w:line="288" w:lineRule="auto"/>
        <w:ind w:left="-20"/>
        <w:jc w:val="both"/>
        <w:rPr>
          <w:i/>
          <w:iCs/>
        </w:rPr>
      </w:pPr>
      <w:r>
        <w:rPr>
          <w:rFonts w:hint="eastAsia"/>
          <w:b/>
          <w:bCs/>
          <w:i/>
          <w:iCs/>
        </w:rPr>
        <w:t xml:space="preserve">Observation </w:t>
      </w:r>
      <w:r>
        <w:rPr>
          <w:rFonts w:eastAsia="宋体"/>
          <w:b/>
          <w:bCs/>
          <w:i/>
          <w:iCs/>
        </w:rPr>
        <w:t>2</w:t>
      </w:r>
      <w:r>
        <w:rPr>
          <w:rFonts w:hint="eastAsia"/>
          <w:b/>
          <w:bCs/>
          <w:i/>
          <w:iCs/>
        </w:rPr>
        <w:t>:</w:t>
      </w:r>
      <w:r>
        <w:rPr>
          <w:rFonts w:hint="eastAsia"/>
          <w:i/>
          <w:iCs/>
        </w:rPr>
        <w:t xml:space="preserve"> </w:t>
      </w:r>
      <w:r>
        <w:rPr>
          <w:i/>
          <w:iCs/>
        </w:rPr>
        <w:t>In terms of report overhead, Option-2 (</w:t>
      </w:r>
      <w:r>
        <w:rPr>
          <w:rFonts w:hint="eastAsia"/>
          <w:i/>
          <w:iCs/>
        </w:rPr>
        <w:t xml:space="preserve">UCI </w:t>
      </w:r>
      <w:r>
        <w:rPr>
          <w:i/>
          <w:iCs/>
        </w:rPr>
        <w:t>in</w:t>
      </w:r>
      <w:r>
        <w:rPr>
          <w:rFonts w:hint="eastAsia"/>
          <w:i/>
          <w:iCs/>
        </w:rPr>
        <w:t xml:space="preserve"> dynamically scheduled UL resource</w:t>
      </w:r>
      <w:r>
        <w:rPr>
          <w:i/>
          <w:iCs/>
        </w:rPr>
        <w:t>) and Option-3 with a PUSCH as for second channel (via spatial multiplexing in UL MU-MIMO)</w:t>
      </w:r>
      <w:r>
        <w:rPr>
          <w:rFonts w:eastAsia="宋体"/>
          <w:i/>
        </w:rPr>
        <w:t xml:space="preserve"> outperform Option-1 (MAC-CE), while considering multi-UEs co-existence from the perspective of NW scheduling.</w:t>
      </w:r>
    </w:p>
    <w:p>
      <w:pPr>
        <w:snapToGrid w:val="0"/>
        <w:spacing w:before="72" w:beforeLines="30" w:after="72" w:afterLines="30" w:line="288" w:lineRule="auto"/>
        <w:jc w:val="both"/>
        <w:rPr>
          <w:rFonts w:eastAsia="宋体"/>
        </w:rPr>
      </w:pPr>
      <w:r>
        <w:rPr>
          <w:rFonts w:eastAsia="宋体"/>
        </w:rPr>
        <w:t>Then, for Option-3, we still have another open issue on the number of bits carrying in the first channel.</w:t>
      </w:r>
      <w:r>
        <w:rPr>
          <w:rFonts w:hint="eastAsia" w:eastAsia="宋体"/>
        </w:rPr>
        <w:t xml:space="preserve"> </w:t>
      </w:r>
      <w:r>
        <w:rPr>
          <w:rFonts w:eastAsia="宋体"/>
        </w:rPr>
        <w:t xml:space="preserve"> </w:t>
      </w:r>
    </w:p>
    <w:p>
      <w:pPr>
        <w:numPr>
          <w:ilvl w:val="1"/>
          <w:numId w:val="13"/>
        </w:numPr>
        <w:tabs>
          <w:tab w:val="left" w:pos="0"/>
          <w:tab w:val="clear" w:pos="-420"/>
        </w:tabs>
        <w:snapToGrid w:val="0"/>
        <w:spacing w:before="72" w:beforeLines="30" w:after="72" w:afterLines="30" w:line="288" w:lineRule="auto"/>
        <w:jc w:val="both"/>
        <w:rPr>
          <w:rFonts w:eastAsia="宋体"/>
          <w:b/>
        </w:rPr>
      </w:pPr>
      <w:r>
        <w:rPr>
          <w:rFonts w:eastAsia="宋体"/>
          <w:b/>
        </w:rPr>
        <w:t>Alt</w:t>
      </w:r>
      <w:r>
        <w:rPr>
          <w:rFonts w:hint="eastAsia" w:eastAsia="宋体"/>
          <w:b/>
        </w:rPr>
        <w:t>-1: Notification of BRN is analogous to an SR.</w:t>
      </w:r>
    </w:p>
    <w:p>
      <w:pPr>
        <w:numPr>
          <w:ilvl w:val="2"/>
          <w:numId w:val="13"/>
        </w:numPr>
        <w:tabs>
          <w:tab w:val="left" w:pos="0"/>
          <w:tab w:val="clear" w:pos="-420"/>
        </w:tabs>
        <w:snapToGrid w:val="0"/>
        <w:spacing w:before="72" w:beforeLines="30" w:after="72" w:afterLines="30" w:line="288" w:lineRule="auto"/>
        <w:jc w:val="both"/>
        <w:rPr>
          <w:rFonts w:eastAsia="宋体"/>
        </w:rPr>
      </w:pPr>
      <w:r>
        <w:rPr>
          <w:rFonts w:hint="eastAsia" w:eastAsia="宋体"/>
        </w:rPr>
        <w:t xml:space="preserve">Since only </w:t>
      </w:r>
      <w:r>
        <w:rPr>
          <w:rFonts w:eastAsia="宋体"/>
        </w:rPr>
        <w:t>1</w:t>
      </w:r>
      <w:r>
        <w:rPr>
          <w:rFonts w:hint="eastAsia" w:eastAsia="宋体"/>
        </w:rPr>
        <w:t xml:space="preserve"> bit (e.g., positive or negative indication) can be transmitted by an SR, the notification of BRN should be 1 bit as well in such case.</w:t>
      </w:r>
    </w:p>
    <w:p>
      <w:pPr>
        <w:numPr>
          <w:ilvl w:val="3"/>
          <w:numId w:val="13"/>
        </w:numPr>
        <w:tabs>
          <w:tab w:val="left" w:pos="0"/>
        </w:tabs>
        <w:snapToGrid w:val="0"/>
        <w:spacing w:before="72" w:beforeLines="30" w:after="72" w:afterLines="30" w:line="288" w:lineRule="auto"/>
        <w:jc w:val="both"/>
        <w:rPr>
          <w:rFonts w:eastAsia="宋体"/>
        </w:rPr>
      </w:pPr>
      <w:r>
        <w:rPr>
          <w:rFonts w:hint="eastAsia" w:eastAsia="宋体"/>
        </w:rPr>
        <w:t xml:space="preserve">However, different from Option 1 and Option 2, BRN in Option 3 does not request uplink resources in actual, and operations on triggering, pending and canceling of legacy SR might could not be directly reused. </w:t>
      </w:r>
    </w:p>
    <w:p>
      <w:pPr>
        <w:numPr>
          <w:ilvl w:val="3"/>
          <w:numId w:val="13"/>
        </w:numPr>
        <w:tabs>
          <w:tab w:val="left" w:pos="0"/>
        </w:tabs>
        <w:snapToGrid w:val="0"/>
        <w:spacing w:before="72" w:beforeLines="30" w:after="72" w:afterLines="30" w:line="288" w:lineRule="auto"/>
        <w:jc w:val="both"/>
        <w:rPr>
          <w:rFonts w:eastAsia="宋体"/>
        </w:rPr>
      </w:pPr>
      <w:r>
        <w:rPr>
          <w:rFonts w:hint="eastAsia" w:eastAsia="宋体"/>
        </w:rPr>
        <w:t>Hence, the notification can be SR-like, e.g., 1</w:t>
      </w:r>
      <w:r>
        <w:rPr>
          <w:rFonts w:eastAsia="宋体"/>
        </w:rPr>
        <w:t xml:space="preserve"> </w:t>
      </w:r>
      <w:r>
        <w:rPr>
          <w:rFonts w:hint="eastAsia" w:eastAsia="宋体"/>
        </w:rPr>
        <w:t>bit information on PUCCH, but details on transmitting and canceling a BRN should be further discussed.</w:t>
      </w:r>
    </w:p>
    <w:p>
      <w:pPr>
        <w:numPr>
          <w:ilvl w:val="1"/>
          <w:numId w:val="13"/>
        </w:numPr>
        <w:tabs>
          <w:tab w:val="left" w:pos="0"/>
          <w:tab w:val="clear" w:pos="-420"/>
        </w:tabs>
        <w:snapToGrid w:val="0"/>
        <w:spacing w:before="72" w:beforeLines="30" w:after="72" w:afterLines="30" w:line="288" w:lineRule="auto"/>
        <w:jc w:val="both"/>
        <w:rPr>
          <w:rFonts w:eastAsia="宋体"/>
          <w:b/>
        </w:rPr>
      </w:pPr>
      <w:r>
        <w:rPr>
          <w:rFonts w:eastAsia="宋体"/>
          <w:b/>
        </w:rPr>
        <w:t>Alt</w:t>
      </w:r>
      <w:r>
        <w:rPr>
          <w:rFonts w:hint="eastAsia" w:eastAsia="宋体"/>
          <w:b/>
        </w:rPr>
        <w:t>-2: Notification of BRN is regarded as a CSI.</w:t>
      </w:r>
    </w:p>
    <w:p>
      <w:pPr>
        <w:numPr>
          <w:ilvl w:val="2"/>
          <w:numId w:val="13"/>
        </w:numPr>
        <w:tabs>
          <w:tab w:val="left" w:pos="0"/>
          <w:tab w:val="clear" w:pos="-420"/>
        </w:tabs>
        <w:snapToGrid w:val="0"/>
        <w:spacing w:before="72" w:beforeLines="30" w:after="72" w:afterLines="30" w:line="288" w:lineRule="auto"/>
        <w:jc w:val="both"/>
        <w:rPr>
          <w:rFonts w:eastAsia="宋体"/>
        </w:rPr>
      </w:pPr>
      <w:r>
        <w:rPr>
          <w:rFonts w:hint="eastAsia" w:eastAsia="宋体"/>
        </w:rPr>
        <w:t xml:space="preserve">According to the current specification, only PUCCH format 2/3/4 can be configured to carry CSI reports. If not to break the legacy rule, notification of BRN should be larger than 2 bits. A generic notification of beam reporting cannot work anymore, and the other indications to indicate the size of the beam report should be included. For instance, report configuration identification, cell identification or reported beam number indication might be indicated.  </w:t>
      </w:r>
    </w:p>
    <w:p>
      <w:pPr>
        <w:tabs>
          <w:tab w:val="left" w:pos="-420"/>
          <w:tab w:val="left" w:pos="0"/>
        </w:tabs>
        <w:snapToGrid w:val="0"/>
        <w:spacing w:before="72" w:beforeLines="30" w:after="72" w:afterLines="30" w:line="288" w:lineRule="auto"/>
        <w:jc w:val="both"/>
        <w:rPr>
          <w:rFonts w:eastAsia="宋体"/>
        </w:rPr>
      </w:pPr>
      <w:r>
        <w:rPr>
          <w:rFonts w:eastAsia="宋体"/>
        </w:rPr>
        <w:t>Considering spec impact and the flexibility of report format of second channel, 1-bit UCI (SR-like) is preferred to be carried in the first channel.</w:t>
      </w:r>
    </w:p>
    <w:p>
      <w:pPr>
        <w:snapToGrid w:val="0"/>
        <w:spacing w:before="72" w:beforeLines="30" w:after="72" w:afterLines="30" w:line="288" w:lineRule="auto"/>
        <w:jc w:val="both"/>
        <w:rPr>
          <w:rFonts w:eastAsia="宋体"/>
        </w:rPr>
      </w:pPr>
      <w:r>
        <w:rPr>
          <w:rFonts w:hint="eastAsia" w:eastAsia="宋体"/>
        </w:rPr>
        <w:t>B</w:t>
      </w:r>
      <w:r>
        <w:rPr>
          <w:rFonts w:hint="eastAsia"/>
        </w:rPr>
        <w:t xml:space="preserve">ased on </w:t>
      </w:r>
      <w:r>
        <w:rPr>
          <w:rFonts w:hint="eastAsia" w:eastAsia="宋体"/>
        </w:rPr>
        <w:t xml:space="preserve">the </w:t>
      </w:r>
      <w:r>
        <w:rPr>
          <w:rFonts w:hint="eastAsia"/>
        </w:rPr>
        <w:t xml:space="preserve">analysis above, </w:t>
      </w:r>
      <w:r>
        <w:rPr>
          <w:rFonts w:hint="eastAsia" w:eastAsia="宋体"/>
        </w:rPr>
        <w:t xml:space="preserve">the pros and cons between the three options are concluded in Table 1, and </w:t>
      </w:r>
      <w:r>
        <w:rPr>
          <w:rFonts w:hint="eastAsia"/>
        </w:rPr>
        <w:t xml:space="preserve">we have the following </w:t>
      </w:r>
      <w:r>
        <w:rPr>
          <w:rFonts w:hint="eastAsia" w:eastAsia="宋体"/>
        </w:rPr>
        <w:t>proposal.</w:t>
      </w:r>
    </w:p>
    <w:p>
      <w:pPr>
        <w:snapToGrid w:val="0"/>
        <w:spacing w:before="72" w:beforeLines="30" w:after="72" w:afterLines="30" w:line="288" w:lineRule="auto"/>
        <w:jc w:val="center"/>
        <w:rPr>
          <w:rFonts w:eastAsia="宋体"/>
        </w:rPr>
      </w:pPr>
      <w:r>
        <w:rPr>
          <w:rFonts w:eastAsia="宋体"/>
          <w:b/>
          <w:bCs/>
        </w:rPr>
        <w:t>Table 1</w:t>
      </w:r>
      <w:r>
        <w:rPr>
          <w:rFonts w:eastAsia="宋体"/>
        </w:rPr>
        <w:tab/>
      </w:r>
      <w:r>
        <w:rPr>
          <w:rFonts w:eastAsia="宋体"/>
        </w:rPr>
        <w:t>Comparison in terms of container for UE-initiated beam reporting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2646"/>
        <w:gridCol w:w="2824"/>
        <w:gridCol w:w="2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Alternative</w:t>
            </w:r>
          </w:p>
        </w:tc>
        <w:tc>
          <w:tcPr>
            <w:tcW w:w="2646" w:type="dxa"/>
            <w:shd w:val="clear" w:color="auto" w:fill="DEEAF6" w:themeFill="accent1" w:themeFillTint="33"/>
          </w:tcPr>
          <w:p>
            <w:pPr>
              <w:tabs>
                <w:tab w:val="left" w:pos="583"/>
              </w:tabs>
              <w:spacing w:before="72" w:beforeLines="30" w:after="72" w:afterLines="30" w:line="288" w:lineRule="auto"/>
              <w:jc w:val="center"/>
              <w:rPr>
                <w:rFonts w:eastAsia="宋体"/>
                <w:b/>
                <w:i/>
                <w:szCs w:val="20"/>
              </w:rPr>
            </w:pPr>
            <w:r>
              <w:rPr>
                <w:rFonts w:hint="eastAsia" w:eastAsia="宋体"/>
                <w:b/>
              </w:rPr>
              <w:t>Option</w:t>
            </w:r>
            <w:r>
              <w:rPr>
                <w:rFonts w:eastAsia="宋体"/>
                <w:b/>
              </w:rPr>
              <w:t xml:space="preserve"> 1</w:t>
            </w:r>
          </w:p>
        </w:tc>
        <w:tc>
          <w:tcPr>
            <w:tcW w:w="2824" w:type="dxa"/>
            <w:shd w:val="clear" w:color="auto" w:fill="DEEAF6" w:themeFill="accent1" w:themeFillTint="33"/>
          </w:tcPr>
          <w:p>
            <w:pPr>
              <w:spacing w:before="72" w:beforeLines="30" w:after="72" w:afterLines="30" w:line="288" w:lineRule="auto"/>
              <w:jc w:val="center"/>
              <w:rPr>
                <w:rFonts w:eastAsia="宋体"/>
                <w:b/>
                <w:i/>
                <w:szCs w:val="20"/>
              </w:rPr>
            </w:pPr>
            <w:r>
              <w:rPr>
                <w:rFonts w:hint="eastAsia" w:eastAsia="宋体"/>
                <w:b/>
              </w:rPr>
              <w:t>Option 2</w:t>
            </w:r>
          </w:p>
        </w:tc>
        <w:tc>
          <w:tcPr>
            <w:tcW w:w="2645" w:type="dxa"/>
            <w:shd w:val="clear" w:color="auto" w:fill="DEEAF6" w:themeFill="accent1" w:themeFillTint="33"/>
          </w:tcPr>
          <w:p>
            <w:pPr>
              <w:spacing w:before="72" w:beforeLines="30" w:after="72" w:afterLines="30" w:line="288" w:lineRule="auto"/>
              <w:jc w:val="center"/>
              <w:rPr>
                <w:rFonts w:eastAsia="宋体"/>
                <w:b/>
                <w:i/>
                <w:szCs w:val="20"/>
              </w:rPr>
            </w:pPr>
            <w:r>
              <w:rPr>
                <w:rFonts w:hint="eastAsia" w:eastAsia="宋体"/>
                <w:b/>
              </w:rPr>
              <w:t>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Description</w:t>
            </w:r>
          </w:p>
        </w:tc>
        <w:tc>
          <w:tcPr>
            <w:tcW w:w="2646" w:type="dxa"/>
          </w:tcPr>
          <w:p>
            <w:pPr>
              <w:spacing w:before="72" w:beforeLines="30" w:after="72" w:afterLines="30" w:line="288" w:lineRule="auto"/>
              <w:jc w:val="center"/>
              <w:rPr>
                <w:rFonts w:eastAsia="宋体"/>
                <w:b/>
                <w:i/>
                <w:szCs w:val="20"/>
              </w:rPr>
            </w:pPr>
            <w:r>
              <w:rPr>
                <w:rFonts w:hint="eastAsia" w:eastAsia="宋体"/>
              </w:rPr>
              <w:t>SR + MAC CE</w:t>
            </w:r>
          </w:p>
        </w:tc>
        <w:tc>
          <w:tcPr>
            <w:tcW w:w="2824" w:type="dxa"/>
          </w:tcPr>
          <w:p>
            <w:pPr>
              <w:spacing w:before="72" w:beforeLines="30" w:after="72" w:afterLines="30" w:line="288" w:lineRule="auto"/>
              <w:jc w:val="center"/>
              <w:rPr>
                <w:rFonts w:eastAsia="宋体"/>
                <w:b/>
                <w:i/>
                <w:szCs w:val="20"/>
              </w:rPr>
            </w:pPr>
            <w:r>
              <w:rPr>
                <w:rFonts w:hint="eastAsia" w:eastAsia="宋体"/>
              </w:rPr>
              <w:t>BRN + DCI triggered UCI</w:t>
            </w:r>
          </w:p>
        </w:tc>
        <w:tc>
          <w:tcPr>
            <w:tcW w:w="2645" w:type="dxa"/>
          </w:tcPr>
          <w:p>
            <w:pPr>
              <w:spacing w:before="72" w:beforeLines="30" w:after="72" w:afterLines="30" w:line="288" w:lineRule="auto"/>
              <w:jc w:val="center"/>
              <w:rPr>
                <w:rFonts w:eastAsia="宋体"/>
                <w:b/>
                <w:i/>
                <w:szCs w:val="20"/>
              </w:rPr>
            </w:pPr>
            <w:r>
              <w:rPr>
                <w:rFonts w:hint="eastAsia" w:eastAsia="宋体"/>
              </w:rPr>
              <w:t>BRN + pre-configured 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Container</w:t>
            </w:r>
          </w:p>
        </w:tc>
        <w:tc>
          <w:tcPr>
            <w:tcW w:w="2646" w:type="dxa"/>
          </w:tcPr>
          <w:p>
            <w:pPr>
              <w:spacing w:before="72" w:beforeLines="30" w:after="72" w:afterLines="30" w:line="288" w:lineRule="auto"/>
              <w:jc w:val="center"/>
              <w:rPr>
                <w:rFonts w:eastAsia="宋体"/>
                <w:b/>
                <w:i/>
                <w:szCs w:val="20"/>
              </w:rPr>
            </w:pPr>
            <w:r>
              <w:rPr>
                <w:rFonts w:hint="eastAsia" w:eastAsia="宋体"/>
              </w:rPr>
              <w:t>MAC CE on PUSCH</w:t>
            </w:r>
          </w:p>
        </w:tc>
        <w:tc>
          <w:tcPr>
            <w:tcW w:w="2824" w:type="dxa"/>
          </w:tcPr>
          <w:p>
            <w:pPr>
              <w:spacing w:before="72" w:beforeLines="30" w:after="72" w:afterLines="30" w:line="288" w:lineRule="auto"/>
              <w:jc w:val="center"/>
              <w:rPr>
                <w:rFonts w:eastAsia="宋体"/>
                <w:b/>
                <w:i/>
                <w:szCs w:val="20"/>
              </w:rPr>
            </w:pPr>
            <w:r>
              <w:rPr>
                <w:rFonts w:hint="eastAsia" w:eastAsia="宋体"/>
              </w:rPr>
              <w:t>UCI on scheduled PUSCH</w:t>
            </w:r>
          </w:p>
        </w:tc>
        <w:tc>
          <w:tcPr>
            <w:tcW w:w="2645" w:type="dxa"/>
          </w:tcPr>
          <w:p>
            <w:pPr>
              <w:spacing w:before="72" w:beforeLines="30" w:after="72" w:afterLines="30" w:line="288" w:lineRule="auto"/>
              <w:jc w:val="center"/>
              <w:rPr>
                <w:rFonts w:eastAsia="宋体"/>
                <w:b/>
                <w:i/>
                <w:szCs w:val="20"/>
              </w:rPr>
            </w:pPr>
            <w:r>
              <w:rPr>
                <w:rFonts w:hint="eastAsia" w:eastAsia="宋体"/>
              </w:rPr>
              <w:t>UCI on pre-configured PUCCH/PUSCH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First Channel</w:t>
            </w:r>
          </w:p>
        </w:tc>
        <w:tc>
          <w:tcPr>
            <w:tcW w:w="2646" w:type="dxa"/>
          </w:tcPr>
          <w:p>
            <w:pPr>
              <w:spacing w:before="72" w:beforeLines="30" w:after="72" w:afterLines="30" w:line="288" w:lineRule="auto"/>
              <w:jc w:val="center"/>
              <w:rPr>
                <w:rFonts w:eastAsia="宋体"/>
                <w:b/>
                <w:i/>
                <w:szCs w:val="20"/>
              </w:rPr>
            </w:pPr>
            <w:r>
              <w:rPr>
                <w:rFonts w:hint="eastAsia" w:eastAsia="宋体"/>
              </w:rPr>
              <w:t>SR</w:t>
            </w:r>
          </w:p>
        </w:tc>
        <w:tc>
          <w:tcPr>
            <w:tcW w:w="2824" w:type="dxa"/>
          </w:tcPr>
          <w:p>
            <w:pPr>
              <w:spacing w:before="72" w:beforeLines="30" w:after="72" w:afterLines="30" w:line="288" w:lineRule="auto"/>
              <w:jc w:val="center"/>
              <w:rPr>
                <w:rFonts w:eastAsia="宋体"/>
                <w:b/>
                <w:i/>
                <w:szCs w:val="20"/>
              </w:rPr>
            </w:pPr>
            <w:r>
              <w:rPr>
                <w:rFonts w:hint="eastAsia" w:eastAsia="宋体"/>
              </w:rPr>
              <w:t>BRN (SR-like)</w:t>
            </w:r>
          </w:p>
        </w:tc>
        <w:tc>
          <w:tcPr>
            <w:tcW w:w="2645" w:type="dxa"/>
          </w:tcPr>
          <w:p>
            <w:pPr>
              <w:spacing w:before="72" w:beforeLines="30" w:after="72" w:afterLines="30" w:line="288" w:lineRule="auto"/>
              <w:jc w:val="center"/>
              <w:rPr>
                <w:rFonts w:eastAsia="宋体"/>
                <w:b/>
                <w:i/>
                <w:szCs w:val="20"/>
              </w:rPr>
            </w:pPr>
            <w:r>
              <w:rPr>
                <w:rFonts w:hint="eastAsia" w:eastAsia="宋体"/>
              </w:rPr>
              <w:t>BRN (SR-like)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bCs/>
              </w:rPr>
            </w:pPr>
            <w:r>
              <w:rPr>
                <w:rFonts w:hint="eastAsia" w:eastAsia="宋体"/>
                <w:b/>
                <w:bCs/>
              </w:rPr>
              <w:t>Second Channel</w:t>
            </w:r>
          </w:p>
        </w:tc>
        <w:tc>
          <w:tcPr>
            <w:tcW w:w="2646" w:type="dxa"/>
          </w:tcPr>
          <w:p>
            <w:pPr>
              <w:spacing w:before="72" w:beforeLines="30" w:after="72" w:afterLines="30" w:line="288" w:lineRule="auto"/>
              <w:jc w:val="center"/>
              <w:rPr>
                <w:rFonts w:eastAsia="宋体"/>
              </w:rPr>
            </w:pPr>
            <w:r>
              <w:rPr>
                <w:rFonts w:hint="eastAsia" w:eastAsia="宋体"/>
              </w:rPr>
              <w:t>Dynamically scheduled or pre-configured PUSCH</w:t>
            </w:r>
          </w:p>
        </w:tc>
        <w:tc>
          <w:tcPr>
            <w:tcW w:w="2824" w:type="dxa"/>
          </w:tcPr>
          <w:p>
            <w:pPr>
              <w:spacing w:before="72" w:beforeLines="30" w:after="72" w:afterLines="30" w:line="288" w:lineRule="auto"/>
              <w:jc w:val="center"/>
              <w:rPr>
                <w:rFonts w:eastAsia="宋体"/>
              </w:rPr>
            </w:pPr>
            <w:r>
              <w:rPr>
                <w:rFonts w:hint="eastAsia" w:eastAsia="宋体"/>
              </w:rPr>
              <w:t>Dynamically scheduled PUSCH</w:t>
            </w:r>
          </w:p>
        </w:tc>
        <w:tc>
          <w:tcPr>
            <w:tcW w:w="2645" w:type="dxa"/>
          </w:tcPr>
          <w:p>
            <w:pPr>
              <w:spacing w:before="72" w:beforeLines="30" w:after="72" w:afterLines="30" w:line="288" w:lineRule="auto"/>
              <w:jc w:val="center"/>
              <w:rPr>
                <w:rFonts w:eastAsia="宋体"/>
              </w:rPr>
            </w:pPr>
            <w:r>
              <w:rPr>
                <w:rFonts w:hint="eastAsia" w:eastAsia="宋体"/>
              </w:rPr>
              <w:t>Pre-configured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Pros</w:t>
            </w:r>
          </w:p>
        </w:tc>
        <w:tc>
          <w:tcPr>
            <w:tcW w:w="2646" w:type="dxa"/>
          </w:tcPr>
          <w:p>
            <w:pPr>
              <w:numPr>
                <w:ilvl w:val="0"/>
                <w:numId w:val="15"/>
              </w:numPr>
              <w:snapToGrid w:val="0"/>
              <w:spacing w:before="72" w:beforeLines="30" w:after="72" w:afterLines="30" w:line="288" w:lineRule="auto"/>
              <w:rPr>
                <w:rFonts w:eastAsia="宋体"/>
                <w:b/>
                <w:i/>
                <w:szCs w:val="20"/>
              </w:rPr>
            </w:pPr>
            <w:r>
              <w:rPr>
                <w:rFonts w:hint="eastAsia" w:eastAsia="宋体"/>
              </w:rPr>
              <w:t>Minor specification impact (i.e., mainly on signaling contents)</w:t>
            </w:r>
          </w:p>
        </w:tc>
        <w:tc>
          <w:tcPr>
            <w:tcW w:w="2824" w:type="dxa"/>
          </w:tcPr>
          <w:p>
            <w:pPr>
              <w:numPr>
                <w:ilvl w:val="0"/>
                <w:numId w:val="15"/>
              </w:numPr>
              <w:snapToGrid w:val="0"/>
              <w:spacing w:before="72" w:beforeLines="30" w:after="72" w:afterLines="30" w:line="288" w:lineRule="auto"/>
              <w:rPr>
                <w:rFonts w:eastAsia="宋体"/>
                <w:b/>
                <w:i/>
                <w:szCs w:val="20"/>
              </w:rPr>
            </w:pPr>
            <w:r>
              <w:rPr>
                <w:rFonts w:hint="eastAsia" w:eastAsia="宋体"/>
              </w:rPr>
              <w:t>No need for dedicated UL resource</w:t>
            </w:r>
          </w:p>
        </w:tc>
        <w:tc>
          <w:tcPr>
            <w:tcW w:w="2645" w:type="dxa"/>
          </w:tcPr>
          <w:p>
            <w:pPr>
              <w:numPr>
                <w:ilvl w:val="0"/>
                <w:numId w:val="15"/>
              </w:numPr>
              <w:snapToGrid w:val="0"/>
              <w:spacing w:before="72" w:beforeLines="30" w:after="72" w:afterLines="30" w:line="288" w:lineRule="auto"/>
              <w:rPr>
                <w:rFonts w:eastAsia="宋体"/>
                <w:b/>
                <w:i/>
                <w:szCs w:val="20"/>
              </w:rPr>
            </w:pPr>
            <w:r>
              <w:rPr>
                <w:rFonts w:hint="eastAsia" w:eastAsia="宋体"/>
              </w:rPr>
              <w:t xml:space="preserve">Low report latency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dxa"/>
            <w:shd w:val="clear" w:color="auto" w:fill="DEEAF6" w:themeFill="accent1" w:themeFillTint="33"/>
          </w:tcPr>
          <w:p>
            <w:pPr>
              <w:spacing w:before="72" w:beforeLines="30" w:after="72" w:afterLines="30" w:line="288" w:lineRule="auto"/>
              <w:jc w:val="both"/>
              <w:rPr>
                <w:rFonts w:eastAsia="宋体"/>
                <w:b/>
                <w:i/>
                <w:szCs w:val="20"/>
              </w:rPr>
            </w:pPr>
            <w:r>
              <w:rPr>
                <w:rFonts w:hint="eastAsia" w:eastAsia="宋体"/>
                <w:b/>
                <w:bCs/>
              </w:rPr>
              <w:t>Cons</w:t>
            </w:r>
          </w:p>
        </w:tc>
        <w:tc>
          <w:tcPr>
            <w:tcW w:w="2646" w:type="dxa"/>
          </w:tcPr>
          <w:p>
            <w:pPr>
              <w:numPr>
                <w:ilvl w:val="0"/>
                <w:numId w:val="15"/>
              </w:numPr>
              <w:snapToGrid w:val="0"/>
              <w:spacing w:before="72" w:beforeLines="30" w:after="72" w:afterLines="30" w:line="288" w:lineRule="auto"/>
              <w:rPr>
                <w:rFonts w:eastAsia="宋体"/>
                <w:b/>
                <w:i/>
                <w:szCs w:val="20"/>
              </w:rPr>
            </w:pPr>
            <w:r>
              <w:rPr>
                <w:rFonts w:hint="eastAsia" w:eastAsia="宋体"/>
              </w:rPr>
              <w:t>Relatively large report latency if PUSCH resource is dynamically scheduled</w:t>
            </w:r>
          </w:p>
          <w:p>
            <w:pPr>
              <w:numPr>
                <w:ilvl w:val="0"/>
                <w:numId w:val="15"/>
              </w:numPr>
              <w:snapToGrid w:val="0"/>
              <w:spacing w:before="72" w:beforeLines="30" w:after="72" w:afterLines="30" w:line="288" w:lineRule="auto"/>
              <w:rPr>
                <w:rFonts w:eastAsia="宋体"/>
                <w:b/>
                <w:i/>
                <w:szCs w:val="20"/>
              </w:rPr>
            </w:pPr>
            <w:r>
              <w:rPr>
                <w:rFonts w:hint="eastAsia" w:eastAsia="宋体"/>
              </w:rPr>
              <w:t>Need for dedicated UL resource if PUSCH resource is pre-configured</w:t>
            </w:r>
          </w:p>
        </w:tc>
        <w:tc>
          <w:tcPr>
            <w:tcW w:w="2824" w:type="dxa"/>
          </w:tcPr>
          <w:p>
            <w:pPr>
              <w:numPr>
                <w:ilvl w:val="0"/>
                <w:numId w:val="15"/>
              </w:numPr>
              <w:snapToGrid w:val="0"/>
              <w:spacing w:before="72" w:beforeLines="30" w:after="72" w:afterLines="30" w:line="288" w:lineRule="auto"/>
              <w:rPr>
                <w:rFonts w:eastAsia="宋体"/>
                <w:b/>
                <w:i/>
                <w:szCs w:val="20"/>
              </w:rPr>
            </w:pPr>
            <w:r>
              <w:rPr>
                <w:rFonts w:hint="eastAsia" w:eastAsia="宋体"/>
              </w:rPr>
              <w:t>Relatively large report latency</w:t>
            </w:r>
          </w:p>
        </w:tc>
        <w:tc>
          <w:tcPr>
            <w:tcW w:w="2645" w:type="dxa"/>
          </w:tcPr>
          <w:p>
            <w:pPr>
              <w:numPr>
                <w:ilvl w:val="0"/>
                <w:numId w:val="15"/>
              </w:numPr>
              <w:snapToGrid w:val="0"/>
              <w:spacing w:before="72" w:beforeLines="30" w:after="72" w:afterLines="30" w:line="288" w:lineRule="auto"/>
              <w:rPr>
                <w:rFonts w:eastAsia="宋体"/>
                <w:b/>
                <w:i/>
                <w:szCs w:val="20"/>
              </w:rPr>
            </w:pPr>
            <w:r>
              <w:rPr>
                <w:rFonts w:hint="eastAsia" w:eastAsia="宋体"/>
              </w:rPr>
              <w:t>Need for dedicated UL resource</w:t>
            </w:r>
          </w:p>
        </w:tc>
      </w:tr>
    </w:tbl>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w:t>
      </w:r>
      <w:r>
        <w:rPr>
          <w:rFonts w:eastAsia="宋体"/>
          <w:i/>
          <w:iCs/>
        </w:rPr>
        <w:t>On UE-initiated/event-driven beam report, at least s</w:t>
      </w:r>
      <w:r>
        <w:rPr>
          <w:rFonts w:hint="eastAsia" w:eastAsia="宋体"/>
          <w:i/>
          <w:iCs/>
        </w:rPr>
        <w:t xml:space="preserve">upport </w:t>
      </w:r>
      <w:r>
        <w:rPr>
          <w:rFonts w:eastAsia="宋体"/>
          <w:i/>
          <w:iCs/>
        </w:rPr>
        <w:t>Option 3 (</w:t>
      </w:r>
      <w:r>
        <w:rPr>
          <w:i/>
          <w:szCs w:val="18"/>
        </w:rPr>
        <w:t>UCI in pre-configured resource(s) for second UL channel</w:t>
      </w:r>
      <w:r>
        <w:rPr>
          <w:rFonts w:eastAsia="宋体"/>
          <w:i/>
          <w:iCs/>
        </w:rPr>
        <w:t>)</w:t>
      </w:r>
      <w:r>
        <w:rPr>
          <w:rFonts w:hint="eastAsia" w:eastAsia="宋体"/>
          <w:i/>
          <w:iCs/>
        </w:rPr>
        <w:t>.</w:t>
      </w:r>
    </w:p>
    <w:p>
      <w:pPr>
        <w:pStyle w:val="111"/>
        <w:widowControl w:val="0"/>
        <w:numPr>
          <w:ilvl w:val="0"/>
          <w:numId w:val="16"/>
        </w:numPr>
        <w:snapToGrid w:val="0"/>
        <w:spacing w:before="72" w:beforeLines="30" w:after="72" w:afterLines="30" w:line="288" w:lineRule="auto"/>
        <w:ind w:firstLineChars="0"/>
        <w:jc w:val="both"/>
        <w:rPr>
          <w:rFonts w:eastAsia="宋体"/>
          <w:i/>
        </w:rPr>
      </w:pPr>
      <w:r>
        <w:rPr>
          <w:rFonts w:hint="eastAsia" w:eastAsia="宋体"/>
          <w:i/>
        </w:rPr>
        <w:t>1</w:t>
      </w:r>
      <w:r>
        <w:rPr>
          <w:rFonts w:eastAsia="宋体"/>
          <w:i/>
        </w:rPr>
        <w:t>-</w:t>
      </w:r>
      <w:r>
        <w:rPr>
          <w:rFonts w:hint="eastAsia" w:eastAsia="宋体"/>
          <w:i/>
        </w:rPr>
        <w:t xml:space="preserve">bit </w:t>
      </w:r>
      <w:r>
        <w:rPr>
          <w:i/>
          <w:szCs w:val="18"/>
        </w:rPr>
        <w:t xml:space="preserve">notification in Step1 is supported to </w:t>
      </w:r>
      <w:r>
        <w:rPr>
          <w:rFonts w:eastAsia="宋体"/>
          <w:i/>
          <w:iCs/>
        </w:rPr>
        <w:t xml:space="preserve">notify gNB of the transmission of a second channel </w:t>
      </w:r>
    </w:p>
    <w:p>
      <w:pPr>
        <w:pStyle w:val="111"/>
        <w:widowControl w:val="0"/>
        <w:numPr>
          <w:ilvl w:val="1"/>
          <w:numId w:val="16"/>
        </w:numPr>
        <w:spacing w:before="72" w:beforeLines="30" w:after="72" w:afterLines="30" w:line="288" w:lineRule="auto"/>
        <w:ind w:firstLineChars="0"/>
        <w:jc w:val="both"/>
        <w:rPr>
          <w:rFonts w:eastAsia="宋体"/>
          <w:i/>
        </w:rPr>
      </w:pPr>
      <w:r>
        <w:rPr>
          <w:rFonts w:hint="eastAsia" w:eastAsia="宋体"/>
          <w:i/>
        </w:rPr>
        <w:t xml:space="preserve">FFS: Whether </w:t>
      </w:r>
      <w:r>
        <w:rPr>
          <w:rFonts w:eastAsia="宋体"/>
          <w:i/>
        </w:rPr>
        <w:t xml:space="preserve">the </w:t>
      </w:r>
      <w:r>
        <w:rPr>
          <w:rFonts w:hint="eastAsia" w:eastAsia="宋体"/>
          <w:i/>
        </w:rPr>
        <w:t>1</w:t>
      </w:r>
      <w:r>
        <w:rPr>
          <w:rFonts w:eastAsia="宋体"/>
          <w:i/>
        </w:rPr>
        <w:t>-</w:t>
      </w:r>
      <w:r>
        <w:rPr>
          <w:rFonts w:hint="eastAsia" w:eastAsia="宋体"/>
          <w:i/>
        </w:rPr>
        <w:t xml:space="preserve">bit </w:t>
      </w:r>
      <w:r>
        <w:rPr>
          <w:i/>
          <w:szCs w:val="18"/>
        </w:rPr>
        <w:t xml:space="preserve">notification </w:t>
      </w:r>
      <w:r>
        <w:rPr>
          <w:rFonts w:hint="eastAsia" w:eastAsia="宋体"/>
          <w:i/>
        </w:rPr>
        <w:t>is an SR or a new type of UCI</w:t>
      </w:r>
      <w:r>
        <w:rPr>
          <w:rFonts w:eastAsia="宋体"/>
          <w:i/>
        </w:rPr>
        <w:t xml:space="preserve"> in a first PUCCH</w:t>
      </w:r>
      <w:r>
        <w:rPr>
          <w:rFonts w:hint="eastAsia" w:eastAsia="宋体"/>
          <w:i/>
        </w:rPr>
        <w:t>.</w:t>
      </w:r>
    </w:p>
    <w:p>
      <w:pPr>
        <w:pStyle w:val="111"/>
        <w:widowControl w:val="0"/>
        <w:numPr>
          <w:ilvl w:val="0"/>
          <w:numId w:val="16"/>
        </w:numPr>
        <w:snapToGrid w:val="0"/>
        <w:spacing w:before="72" w:beforeLines="30" w:after="72" w:afterLines="30" w:line="288" w:lineRule="auto"/>
        <w:ind w:firstLineChars="0"/>
        <w:jc w:val="both"/>
        <w:rPr>
          <w:rFonts w:eastAsia="宋体"/>
          <w:i/>
          <w:iCs/>
        </w:rPr>
      </w:pPr>
      <w:r>
        <w:rPr>
          <w:rFonts w:eastAsia="宋体"/>
          <w:i/>
        </w:rPr>
        <w:t xml:space="preserve">In order to reduce report overhead via UL MU-MIMO considering low probability of the </w:t>
      </w:r>
      <w:r>
        <w:rPr>
          <w:rFonts w:eastAsia="宋体"/>
          <w:i/>
          <w:iCs/>
        </w:rPr>
        <w:t>UE-initiated/event-driven beam report transmission,</w:t>
      </w:r>
      <w:r>
        <w:rPr>
          <w:rFonts w:eastAsia="宋体"/>
          <w:i/>
        </w:rPr>
        <w:t xml:space="preserve"> </w:t>
      </w:r>
      <w:r>
        <w:rPr>
          <w:rFonts w:hint="eastAsia" w:eastAsia="宋体"/>
          <w:i/>
        </w:rPr>
        <w:t>PUSCH resource</w:t>
      </w:r>
      <w:r>
        <w:rPr>
          <w:rFonts w:eastAsia="宋体"/>
          <w:i/>
        </w:rPr>
        <w:t>(</w:t>
      </w:r>
      <w:r>
        <w:rPr>
          <w:rFonts w:hint="eastAsia" w:eastAsia="宋体"/>
          <w:i/>
        </w:rPr>
        <w:t>s</w:t>
      </w:r>
      <w:r>
        <w:rPr>
          <w:rFonts w:eastAsia="宋体"/>
          <w:i/>
        </w:rPr>
        <w:t>)</w:t>
      </w:r>
      <w:r>
        <w:rPr>
          <w:rFonts w:hint="eastAsia" w:eastAsia="宋体"/>
          <w:i/>
        </w:rPr>
        <w:t xml:space="preserve"> without UL-SCH </w:t>
      </w:r>
      <w:r>
        <w:rPr>
          <w:rFonts w:eastAsia="宋体"/>
          <w:i/>
        </w:rPr>
        <w:t>can be</w:t>
      </w:r>
      <w:r>
        <w:rPr>
          <w:rFonts w:hint="eastAsia" w:eastAsia="宋体"/>
          <w:i/>
        </w:rPr>
        <w:t xml:space="preserve"> configured for beam report transmission</w:t>
      </w:r>
      <w:r>
        <w:rPr>
          <w:rFonts w:eastAsia="宋体"/>
          <w:i/>
        </w:rPr>
        <w:t xml:space="preserve"> (i.e., for a second channel)</w:t>
      </w:r>
      <w:r>
        <w:rPr>
          <w:rFonts w:hint="eastAsia" w:eastAsia="宋体"/>
          <w:i/>
        </w:rPr>
        <w:t>.</w:t>
      </w:r>
      <w:r>
        <w:rPr>
          <w:rFonts w:eastAsia="宋体"/>
          <w:i/>
          <w:iCs/>
        </w:rPr>
        <w:t xml:space="preserve"> </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Trigge</w:t>
      </w:r>
      <w:r>
        <w:rPr>
          <w:rFonts w:eastAsia="宋体"/>
          <w:b/>
          <w:sz w:val="28"/>
          <w:szCs w:val="28"/>
        </w:rPr>
        <w:t>r</w:t>
      </w:r>
      <w:r>
        <w:rPr>
          <w:rFonts w:hint="eastAsia" w:eastAsia="宋体"/>
          <w:b/>
          <w:sz w:val="28"/>
          <w:szCs w:val="28"/>
        </w:rPr>
        <w:t xml:space="preserve"> events </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RAN1#116 meeting, the following agreements related to trigger event definition and reference signal configuration were endorsed.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5"/>
              <w:spacing w:before="72" w:beforeLines="30" w:after="72" w:afterLines="30" w:afterAutospacing="0"/>
              <w:ind w:firstLine="0"/>
              <w:rPr>
                <w:rFonts w:ascii="Times" w:hAnsi="Times" w:eastAsia="等线" w:cs="Times"/>
                <w:u w:val="single"/>
                <w:lang w:val="en-US" w:eastAsia="zh-CN"/>
              </w:rPr>
            </w:pPr>
            <w:r>
              <w:rPr>
                <w:rFonts w:ascii="Times" w:hAnsi="Times" w:eastAsia="等线" w:cs="Times"/>
                <w:b/>
                <w:bCs/>
                <w:u w:val="single"/>
                <w:lang w:val="en-US" w:eastAsia="zh-CN"/>
              </w:rPr>
              <w:t>Agreement</w:t>
            </w:r>
          </w:p>
          <w:p>
            <w:pPr>
              <w:overflowPunct w:val="0"/>
              <w:autoSpaceDE w:val="0"/>
              <w:autoSpaceDN w:val="0"/>
              <w:adjustRightInd w:val="0"/>
              <w:snapToGrid w:val="0"/>
              <w:spacing w:before="72" w:beforeLines="30" w:after="72" w:afterLines="30" w:line="288" w:lineRule="auto"/>
              <w:textAlignment w:val="baseline"/>
              <w:rPr>
                <w:rFonts w:cs="Times"/>
                <w:color w:val="000000"/>
                <w:szCs w:val="20"/>
              </w:rPr>
            </w:pPr>
            <w:r>
              <w:rPr>
                <w:rFonts w:cs="Times"/>
                <w:color w:val="000000"/>
                <w:szCs w:val="20"/>
              </w:rPr>
              <w:t>On UE-initiated/event-driven beam reporting, regarding trigger-event detection for beam reporting, RAN1 further study at least the following aspects: quality metrics, event-definition and threshold.</w:t>
            </w:r>
          </w:p>
          <w:p>
            <w:pPr>
              <w:numPr>
                <w:ilvl w:val="0"/>
                <w:numId w:val="17"/>
              </w:numPr>
              <w:snapToGrid w:val="0"/>
              <w:spacing w:before="72" w:beforeLines="30" w:after="72" w:afterLines="30" w:line="288" w:lineRule="auto"/>
              <w:jc w:val="both"/>
              <w:rPr>
                <w:rFonts w:cs="Times"/>
                <w:color w:val="000000"/>
                <w:szCs w:val="20"/>
              </w:rPr>
            </w:pPr>
            <w:r>
              <w:rPr>
                <w:rFonts w:cs="Times"/>
                <w:color w:val="000000"/>
                <w:szCs w:val="20"/>
              </w:rPr>
              <w:t>Further study trigger events, including the following example as a starting point</w:t>
            </w:r>
          </w:p>
          <w:p>
            <w:pPr>
              <w:numPr>
                <w:ilvl w:val="1"/>
                <w:numId w:val="17"/>
              </w:numPr>
              <w:snapToGrid w:val="0"/>
              <w:spacing w:before="72" w:beforeLines="30" w:after="72" w:afterLines="30" w:line="288" w:lineRule="auto"/>
              <w:jc w:val="both"/>
              <w:rPr>
                <w:rFonts w:cs="Times"/>
                <w:color w:val="000000"/>
                <w:szCs w:val="20"/>
              </w:rPr>
            </w:pPr>
            <w:r>
              <w:rPr>
                <w:rFonts w:cs="Times"/>
                <w:color w:val="000000"/>
                <w:szCs w:val="20"/>
              </w:rPr>
              <w:t>Event-1: Quality of the current beam is worse than a certain threshold.</w:t>
            </w:r>
          </w:p>
          <w:p>
            <w:pPr>
              <w:numPr>
                <w:ilvl w:val="1"/>
                <w:numId w:val="17"/>
              </w:numPr>
              <w:snapToGrid w:val="0"/>
              <w:spacing w:before="72" w:beforeLines="30" w:after="72" w:afterLines="30" w:line="288" w:lineRule="auto"/>
              <w:jc w:val="both"/>
              <w:rPr>
                <w:rFonts w:cs="Times"/>
                <w:color w:val="000000"/>
                <w:szCs w:val="20"/>
              </w:rPr>
            </w:pPr>
            <w:r>
              <w:rPr>
                <w:rFonts w:cs="Times"/>
                <w:color w:val="000000"/>
                <w:szCs w:val="20"/>
              </w:rPr>
              <w:t xml:space="preserve">Event-2: Quality of at least one new beam, such as L1-RSRP, becomes a threshold value better than the current beam. </w:t>
            </w:r>
          </w:p>
          <w:p>
            <w:pPr>
              <w:numPr>
                <w:ilvl w:val="1"/>
                <w:numId w:val="17"/>
              </w:numPr>
              <w:snapToGrid w:val="0"/>
              <w:spacing w:before="72" w:beforeLines="30" w:after="72" w:afterLines="30" w:line="288" w:lineRule="auto"/>
              <w:jc w:val="both"/>
              <w:rPr>
                <w:rFonts w:cs="Times"/>
                <w:color w:val="000000"/>
                <w:szCs w:val="20"/>
              </w:rPr>
            </w:pPr>
            <w:r>
              <w:rPr>
                <w:rFonts w:cs="Times"/>
                <w:color w:val="000000"/>
                <w:szCs w:val="20"/>
              </w:rPr>
              <w:t xml:space="preserve">Event-3: Quality of a new beam is better than a certain threshold. </w:t>
            </w:r>
          </w:p>
          <w:p>
            <w:pPr>
              <w:numPr>
                <w:ilvl w:val="1"/>
                <w:numId w:val="17"/>
              </w:numPr>
              <w:snapToGrid w:val="0"/>
              <w:spacing w:before="72" w:beforeLines="30" w:after="72" w:afterLines="30" w:line="288" w:lineRule="auto"/>
              <w:jc w:val="both"/>
              <w:rPr>
                <w:rFonts w:cs="Times"/>
                <w:color w:val="000000"/>
                <w:szCs w:val="20"/>
              </w:rPr>
            </w:pPr>
            <w:r>
              <w:rPr>
                <w:rFonts w:cs="Times"/>
                <w:color w:val="000000"/>
                <w:szCs w:val="20"/>
              </w:rPr>
              <w:t xml:space="preserve">Event-4: Quality of </w:t>
            </w:r>
            <w:r>
              <w:rPr>
                <w:rFonts w:cs="Times"/>
                <w:szCs w:val="20"/>
              </w:rPr>
              <w:t>the current beam is worse than a threshold 1, and quality of at least one new beam is better than a threshold 2.</w:t>
            </w:r>
          </w:p>
          <w:p>
            <w:pPr>
              <w:numPr>
                <w:ilvl w:val="1"/>
                <w:numId w:val="17"/>
              </w:numPr>
              <w:snapToGrid w:val="0"/>
              <w:spacing w:before="72" w:beforeLines="30" w:after="72" w:afterLines="30" w:line="288" w:lineRule="auto"/>
              <w:jc w:val="both"/>
              <w:rPr>
                <w:rFonts w:cs="Times"/>
                <w:color w:val="000000"/>
                <w:szCs w:val="20"/>
              </w:rPr>
            </w:pPr>
            <w:r>
              <w:rPr>
                <w:rFonts w:cs="Times"/>
                <w:color w:val="000000"/>
                <w:szCs w:val="20"/>
              </w:rPr>
              <w:t>Others are not precluded.</w:t>
            </w:r>
          </w:p>
          <w:p>
            <w:pPr>
              <w:numPr>
                <w:ilvl w:val="0"/>
                <w:numId w:val="17"/>
              </w:numPr>
              <w:snapToGrid w:val="0"/>
              <w:spacing w:before="72" w:beforeLines="30" w:after="72" w:afterLines="30" w:line="288" w:lineRule="auto"/>
              <w:jc w:val="both"/>
              <w:rPr>
                <w:rFonts w:eastAsia="宋体"/>
                <w:szCs w:val="20"/>
              </w:rPr>
            </w:pPr>
            <w:r>
              <w:rPr>
                <w:rFonts w:cs="Times"/>
                <w:color w:val="000000"/>
                <w:szCs w:val="20"/>
              </w:rPr>
              <w:t>Note: Companies are encouraged to provide details on procedure (e.g. how it is used) related to their preferred event</w:t>
            </w:r>
          </w:p>
          <w:p>
            <w:pPr>
              <w:pStyle w:val="105"/>
              <w:spacing w:before="72" w:beforeLines="30" w:after="72" w:afterLines="30" w:afterAutospacing="0"/>
              <w:ind w:firstLine="0"/>
              <w:rPr>
                <w:rFonts w:ascii="Times" w:hAnsi="Times" w:eastAsia="等线" w:cs="Times"/>
                <w:u w:val="single"/>
                <w:lang w:val="en-US" w:eastAsia="zh-CN"/>
              </w:rPr>
            </w:pPr>
            <w:r>
              <w:rPr>
                <w:rFonts w:ascii="Times" w:hAnsi="Times" w:eastAsia="等线" w:cs="Times"/>
                <w:b/>
                <w:bCs/>
                <w:u w:val="single"/>
                <w:lang w:val="en-US" w:eastAsia="zh-CN"/>
              </w:rPr>
              <w:t>Agreement</w:t>
            </w:r>
          </w:p>
          <w:p>
            <w:pPr>
              <w:overflowPunct w:val="0"/>
              <w:autoSpaceDE w:val="0"/>
              <w:autoSpaceDN w:val="0"/>
              <w:adjustRightInd w:val="0"/>
              <w:snapToGrid w:val="0"/>
              <w:spacing w:before="72" w:beforeLines="30" w:after="72" w:afterLines="30" w:line="288" w:lineRule="auto"/>
              <w:textAlignment w:val="baseline"/>
              <w:rPr>
                <w:rFonts w:cs="Times"/>
                <w:color w:val="000000"/>
                <w:szCs w:val="20"/>
              </w:rPr>
            </w:pPr>
            <w:r>
              <w:rPr>
                <w:rFonts w:cs="Times"/>
                <w:color w:val="000000"/>
                <w:szCs w:val="20"/>
              </w:rPr>
              <w:t>On UE-initiated/event-driven beam reporting, at least support L1-RSRP as a measurement quantity on SSB for intra-cell and inter-cell, and periodic CSI-RS for beam management</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 xml:space="preserve">Notes: measurement results may be contained in the beam report and/or used as quality metric(s) to initiate/trigger the reporting. </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FFS: Semi-persistent CSI-RS and aperiodic CSI-RS.</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 xml:space="preserve">FFS: Whether/how to support L1-SINR measurement, assuming legacy RS or RS combination (e.g., CMR only, CMR+ZP/NZP-IMR) for Rel-16 SINR is reused. </w:t>
            </w:r>
          </w:p>
          <w:p>
            <w:pPr>
              <w:numPr>
                <w:ilvl w:val="0"/>
                <w:numId w:val="17"/>
              </w:numPr>
              <w:snapToGrid w:val="0"/>
              <w:spacing w:before="72" w:beforeLines="30" w:after="72" w:afterLines="30" w:line="288" w:lineRule="auto"/>
              <w:ind w:left="466" w:firstLine="0"/>
              <w:jc w:val="both"/>
              <w:rPr>
                <w:rFonts w:eastAsia="宋体"/>
                <w:szCs w:val="20"/>
              </w:rPr>
            </w:pPr>
            <w:r>
              <w:rPr>
                <w:rFonts w:cs="Times"/>
                <w:color w:val="000000"/>
                <w:szCs w:val="20"/>
              </w:rPr>
              <w:t>FFS: Whether/how to specify filtering operation for L1-RSRP.</w:t>
            </w:r>
          </w:p>
        </w:tc>
      </w:tr>
    </w:tbl>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Compared with legacy beam reporting based on periodical CSI report, UE-initiated beam reporting can reduce the report overhead obviously by transmitting on-demand beam report, e.g., just report if the beam quality changing occurs, rather than transmitting beam reports on all candidate report occasions. Hence, the definition of trigger event(s) is essential for UE-initiated beam reporting to reduce the beam report overhead without missing any crucial report(s).</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The number of trigger events to be supported</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Definition of trigger events directly determines the signaling contents for a UE-initiated beam report. For instance, for Event-2, RS ID and RSRP value associated with new beams and the current beam might be contained in the beam report, but for Event-3, only RS ID and RSRP value associated with new beams should be reported.</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Considering the intention of UE-initiated beam report is to assist beam management at NW side, e.g., to inform NW a new beam other than the current applied one, hence we prefer to at least support Event-2 and further discuss the RS configuration, threshold and other issues for Event-2.</w:t>
      </w:r>
    </w:p>
    <w:p>
      <w:pPr>
        <w:snapToGrid w:val="0"/>
        <w:spacing w:before="72" w:beforeLines="30" w:after="72" w:afterLines="30" w:line="288" w:lineRule="auto"/>
        <w:jc w:val="both"/>
        <w:rPr>
          <w:rFonts w:eastAsia="宋体"/>
          <w:i/>
          <w:szCs w:val="20"/>
        </w:rPr>
      </w:pPr>
      <w:r>
        <w:rPr>
          <w:rFonts w:hint="eastAsia" w:eastAsia="宋体"/>
          <w:b/>
          <w:i/>
          <w:szCs w:val="21"/>
        </w:rPr>
        <w:t>Proposal</w:t>
      </w:r>
      <w:r>
        <w:rPr>
          <w:b/>
          <w:i/>
          <w:szCs w:val="21"/>
        </w:rPr>
        <w:t xml:space="preserve"> 2:</w:t>
      </w:r>
      <w:r>
        <w:rPr>
          <w:bCs/>
          <w:i/>
          <w:szCs w:val="21"/>
        </w:rPr>
        <w:t xml:space="preserve"> </w:t>
      </w:r>
      <w:r>
        <w:rPr>
          <w:rFonts w:hint="eastAsia" w:eastAsia="宋体"/>
          <w:i/>
          <w:szCs w:val="20"/>
        </w:rPr>
        <w:t xml:space="preserve">For trigger-event detection for UE-initiated/event driven beam report, support to at least specify </w:t>
      </w:r>
      <w:r>
        <w:rPr>
          <w:rFonts w:eastAsia="宋体"/>
          <w:i/>
          <w:szCs w:val="20"/>
        </w:rPr>
        <w:t>“</w:t>
      </w:r>
      <w:r>
        <w:rPr>
          <w:rFonts w:hint="eastAsia" w:eastAsia="宋体"/>
          <w:i/>
          <w:szCs w:val="20"/>
        </w:rPr>
        <w:t>Event-2: Quality of at least one new beam, such as L1-RSRP, becomes a threshold value better than the current beam.</w:t>
      </w:r>
      <w:r>
        <w:rPr>
          <w:rFonts w:eastAsia="宋体"/>
          <w:i/>
          <w:szCs w:val="20"/>
        </w:rPr>
        <w:t>”</w:t>
      </w:r>
    </w:p>
    <w:p>
      <w:pPr>
        <w:numPr>
          <w:ilvl w:val="0"/>
          <w:numId w:val="18"/>
        </w:numPr>
        <w:snapToGrid w:val="0"/>
        <w:rPr>
          <w:rFonts w:eastAsia="宋体"/>
          <w:szCs w:val="20"/>
        </w:rPr>
      </w:pPr>
      <w:r>
        <w:rPr>
          <w:rFonts w:hint="eastAsia" w:eastAsia="宋体"/>
          <w:i/>
          <w:szCs w:val="20"/>
        </w:rPr>
        <w:t xml:space="preserve">FFS: </w:t>
      </w:r>
      <w:r>
        <w:rPr>
          <w:rFonts w:hint="eastAsia" w:eastAsia="宋体"/>
          <w:i/>
          <w:iCs/>
        </w:rPr>
        <w:t xml:space="preserve">Whether </w:t>
      </w:r>
      <w:r>
        <w:rPr>
          <w:rFonts w:hint="eastAsia" w:eastAsia="宋体"/>
          <w:i/>
          <w:szCs w:val="20"/>
        </w:rPr>
        <w:t>to support other trigger events.</w:t>
      </w:r>
      <w:r>
        <w:rPr>
          <w:rFonts w:hint="eastAsia" w:eastAsia="宋体"/>
          <w:szCs w:val="20"/>
        </w:rPr>
        <w:t xml:space="preserve"> </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Reference signals for trigger event evaluation</w:t>
      </w:r>
    </w:p>
    <w:p>
      <w:pPr>
        <w:pStyle w:val="99"/>
        <w:snapToGrid w:val="0"/>
        <w:spacing w:before="60" w:beforeLines="25" w:after="60" w:afterLines="25" w:line="300" w:lineRule="auto"/>
        <w:ind w:firstLine="0" w:firstLineChars="0"/>
        <w:jc w:val="both"/>
        <w:rPr>
          <w:rFonts w:eastAsia="宋体"/>
          <w:szCs w:val="20"/>
        </w:rPr>
      </w:pPr>
      <w:r>
        <w:rPr>
          <w:rFonts w:eastAsia="宋体"/>
          <w:szCs w:val="20"/>
        </w:rPr>
        <w:t xml:space="preserve">There seems to be a common understanding that </w:t>
      </w:r>
      <w:r>
        <w:rPr>
          <w:rFonts w:hint="eastAsia" w:eastAsia="宋体"/>
          <w:szCs w:val="20"/>
        </w:rPr>
        <w:t>DL RS associated with the currently indicated TCI state refers to the current beam.</w:t>
      </w:r>
      <w:r>
        <w:rPr>
          <w:rFonts w:eastAsia="宋体"/>
          <w:szCs w:val="20"/>
        </w:rPr>
        <w:t xml:space="preserve"> Then, for new beam configuration, as in legacy, e</w:t>
      </w:r>
      <w:r>
        <w:rPr>
          <w:rFonts w:hint="eastAsia" w:eastAsia="宋体"/>
          <w:szCs w:val="20"/>
        </w:rPr>
        <w:t xml:space="preserve">ither for measurement report in L3 or for CSI report, reference signals for measurement are explicitly configured. Hence, </w:t>
      </w:r>
      <w:r>
        <w:rPr>
          <w:rFonts w:eastAsia="宋体"/>
          <w:szCs w:val="20"/>
        </w:rPr>
        <w:t xml:space="preserve">we prefer that </w:t>
      </w:r>
      <w:r>
        <w:rPr>
          <w:rFonts w:hint="eastAsia" w:eastAsia="宋体"/>
          <w:szCs w:val="20"/>
        </w:rPr>
        <w:t>reference signals correspond</w:t>
      </w:r>
      <w:r>
        <w:rPr>
          <w:rFonts w:eastAsia="宋体"/>
          <w:szCs w:val="20"/>
        </w:rPr>
        <w:t>ing</w:t>
      </w:r>
      <w:r>
        <w:rPr>
          <w:rFonts w:hint="eastAsia" w:eastAsia="宋体"/>
          <w:szCs w:val="20"/>
        </w:rPr>
        <w:t xml:space="preserve"> to the new beams for UEIBR should be explicitly configured in the same way.</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 xml:space="preserve">However, </w:t>
      </w:r>
      <w:r>
        <w:rPr>
          <w:rFonts w:eastAsia="宋体"/>
          <w:szCs w:val="20"/>
        </w:rPr>
        <w:t xml:space="preserve">we tend to agree that </w:t>
      </w:r>
      <w:r>
        <w:rPr>
          <w:rFonts w:hint="eastAsia" w:eastAsia="宋体"/>
          <w:szCs w:val="20"/>
        </w:rPr>
        <w:t>whether restrictions or rules on the RS configuration might depend on the scenarios for UEIBR.</w:t>
      </w:r>
    </w:p>
    <w:p>
      <w:pPr>
        <w:pStyle w:val="111"/>
        <w:widowControl w:val="0"/>
        <w:numPr>
          <w:ilvl w:val="0"/>
          <w:numId w:val="16"/>
        </w:numPr>
        <w:spacing w:before="72" w:beforeLines="30" w:after="72" w:afterLines="30" w:line="288" w:lineRule="auto"/>
        <w:ind w:left="400" w:leftChars="200" w:firstLineChars="0"/>
        <w:jc w:val="both"/>
        <w:rPr>
          <w:rFonts w:eastAsia="宋体"/>
          <w:szCs w:val="20"/>
        </w:rPr>
      </w:pPr>
      <w:r>
        <w:rPr>
          <w:rFonts w:hint="eastAsia" w:eastAsia="宋体"/>
          <w:szCs w:val="20"/>
        </w:rPr>
        <w:t xml:space="preserve">If the </w:t>
      </w:r>
      <w:r>
        <w:rPr>
          <w:rFonts w:hint="eastAsia" w:eastAsia="宋体"/>
        </w:rPr>
        <w:t xml:space="preserve">new </w:t>
      </w:r>
      <w:r>
        <w:rPr>
          <w:rFonts w:hint="eastAsia" w:eastAsia="宋体"/>
          <w:szCs w:val="20"/>
        </w:rPr>
        <w:t>beams are reported to assist NW to update the current beam, the configured RSs should be associated with the activated but not indicated TCI states.</w:t>
      </w:r>
    </w:p>
    <w:p>
      <w:pPr>
        <w:pStyle w:val="111"/>
        <w:widowControl w:val="0"/>
        <w:numPr>
          <w:ilvl w:val="0"/>
          <w:numId w:val="16"/>
        </w:numPr>
        <w:spacing w:before="72" w:beforeLines="30" w:after="72" w:afterLines="30" w:line="288" w:lineRule="auto"/>
        <w:ind w:left="400" w:leftChars="200" w:firstLineChars="0"/>
        <w:jc w:val="both"/>
        <w:rPr>
          <w:rFonts w:eastAsia="宋体"/>
          <w:szCs w:val="20"/>
        </w:rPr>
      </w:pPr>
      <w:r>
        <w:rPr>
          <w:rFonts w:hint="eastAsia" w:eastAsia="宋体"/>
          <w:szCs w:val="20"/>
        </w:rPr>
        <w:t xml:space="preserve">If the new beams are reported to assist NW to update the activated TCI states, the configured RSs should be associated with the configured but not activated TCI states. </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However, from the perspective of configuration, introducing restrictions above per scenario might be unnecessary, and it is sufficient that the configured RSs are restricted to associate with the configured TCI states.</w:t>
      </w:r>
    </w:p>
    <w:p>
      <w:pPr>
        <w:pStyle w:val="111"/>
        <w:widowControl w:val="0"/>
        <w:spacing w:before="72" w:beforeLines="30" w:after="72" w:afterLines="30" w:line="288" w:lineRule="auto"/>
        <w:ind w:firstLine="0" w:firstLineChars="0"/>
        <w:jc w:val="both"/>
        <w:rPr>
          <w:i/>
        </w:rPr>
      </w:pPr>
      <w:r>
        <w:rPr>
          <w:rFonts w:hint="eastAsia" w:eastAsia="宋体"/>
          <w:b/>
          <w:i/>
          <w:szCs w:val="21"/>
        </w:rPr>
        <w:t>Proposal</w:t>
      </w:r>
      <w:r>
        <w:rPr>
          <w:b/>
          <w:i/>
          <w:szCs w:val="21"/>
        </w:rPr>
        <w:t xml:space="preserve"> </w:t>
      </w:r>
      <w:r>
        <w:rPr>
          <w:rFonts w:eastAsia="宋体"/>
          <w:b/>
          <w:i/>
          <w:szCs w:val="21"/>
        </w:rPr>
        <w:t>3</w:t>
      </w:r>
      <w:r>
        <w:rPr>
          <w:b/>
          <w:i/>
          <w:szCs w:val="21"/>
        </w:rPr>
        <w:t>:</w:t>
      </w:r>
      <w:r>
        <w:rPr>
          <w:bCs/>
          <w:i/>
          <w:szCs w:val="21"/>
        </w:rPr>
        <w:t xml:space="preserve"> </w:t>
      </w:r>
      <w:r>
        <w:rPr>
          <w:rFonts w:hint="eastAsia" w:eastAsia="宋体"/>
          <w:i/>
          <w:szCs w:val="20"/>
        </w:rPr>
        <w:t>Regarding Event-2 for UE-initiated beam report, support that the curre</w:t>
      </w:r>
      <w:r>
        <w:rPr>
          <w:rFonts w:hint="eastAsia"/>
          <w:i/>
        </w:rPr>
        <w:t>nt beam is implicitly derived from the indicated TCI state and the new beams are explicitly configured by the reference signal resource set in the beam report configuration.</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The configured reference signal resources are expected to associate with the configured TCI states.</w:t>
      </w:r>
    </w:p>
    <w:p>
      <w:pPr>
        <w:pStyle w:val="99"/>
        <w:snapToGrid w:val="0"/>
        <w:spacing w:before="60" w:beforeLines="25" w:after="60" w:afterLines="25" w:line="300" w:lineRule="auto"/>
        <w:ind w:firstLine="0" w:firstLineChars="0"/>
        <w:jc w:val="both"/>
        <w:rPr>
          <w:rFonts w:eastAsia="宋体"/>
          <w:szCs w:val="20"/>
        </w:rPr>
      </w:pPr>
      <w:r>
        <w:rPr>
          <w:rFonts w:hint="eastAsia" w:eastAsia="宋体"/>
          <w:b/>
          <w:bCs/>
          <w:szCs w:val="20"/>
          <w:u w:val="single"/>
        </w:rPr>
        <w:t>Beam report triggering by trigger event evaluation</w:t>
      </w:r>
    </w:p>
    <w:p>
      <w:pPr>
        <w:widowControl w:val="0"/>
        <w:spacing w:before="72" w:beforeLines="30" w:after="72" w:afterLines="30" w:line="288" w:lineRule="auto"/>
        <w:jc w:val="both"/>
        <w:rPr>
          <w:rFonts w:eastAsia="宋体"/>
          <w:szCs w:val="20"/>
        </w:rPr>
      </w:pPr>
      <w:r>
        <w:rPr>
          <w:rFonts w:hint="eastAsia" w:eastAsia="宋体"/>
          <w:szCs w:val="20"/>
        </w:rPr>
        <w:t xml:space="preserve">For the sake of robustness, event triggered measurement reporting in Layer 3 is triggered when the trigger event is fulfilled based on the L3-filtered measurement results within a </w:t>
      </w:r>
      <w:r>
        <w:rPr>
          <w:rFonts w:hint="eastAsia" w:eastAsia="宋体"/>
          <w:i/>
          <w:iCs/>
          <w:szCs w:val="20"/>
        </w:rPr>
        <w:t>TimeToTrigger</w:t>
      </w:r>
      <w:r>
        <w:rPr>
          <w:rFonts w:hint="eastAsia" w:eastAsia="宋体"/>
          <w:szCs w:val="20"/>
        </w:rPr>
        <w:t xml:space="preserve"> dutration, and a beam failure recovery procedure is triggered when the beam failure instance indication from lower layers has been counted to the maximum value.  </w:t>
      </w:r>
    </w:p>
    <w:p>
      <w:pPr>
        <w:widowControl w:val="0"/>
        <w:spacing w:before="72" w:beforeLines="30" w:after="72" w:afterLines="30" w:line="288" w:lineRule="auto"/>
        <w:jc w:val="both"/>
        <w:rPr>
          <w:rFonts w:eastAsia="宋体"/>
          <w:szCs w:val="20"/>
        </w:rPr>
      </w:pPr>
      <w:r>
        <w:rPr>
          <w:rFonts w:hint="eastAsia" w:eastAsia="宋体"/>
          <w:szCs w:val="20"/>
        </w:rPr>
        <w:t xml:space="preserve">Similarly, it is preferred to support counter based beam report triggering mechanism, and whether the beam report instance indication for each counting is filtered or not by Layer 1 can be up to UE implementation.   </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eastAsia="宋体"/>
          <w:b/>
          <w:i/>
          <w:szCs w:val="21"/>
        </w:rPr>
        <w:t>4</w:t>
      </w:r>
      <w:r>
        <w:rPr>
          <w:b/>
          <w:i/>
          <w:szCs w:val="21"/>
        </w:rPr>
        <w:t>:</w:t>
      </w:r>
      <w:r>
        <w:rPr>
          <w:bCs/>
          <w:i/>
          <w:szCs w:val="21"/>
        </w:rPr>
        <w:t xml:space="preserve"> </w:t>
      </w:r>
      <w:r>
        <w:rPr>
          <w:rFonts w:hint="eastAsia" w:eastAsia="宋体"/>
          <w:i/>
          <w:szCs w:val="20"/>
        </w:rPr>
        <w:t>For UE-initiated/event-driven beam reporting procedure, support to specify that UE-initiated beam report triggering is based on a counter</w:t>
      </w:r>
      <w:r>
        <w:rPr>
          <w:rFonts w:eastAsia="宋体"/>
          <w:i/>
          <w:szCs w:val="20"/>
        </w:rPr>
        <w:t xml:space="preserve"> with a timer</w:t>
      </w:r>
      <w:r>
        <w:rPr>
          <w:rFonts w:hint="eastAsia" w:eastAsia="宋体"/>
          <w:i/>
          <w:szCs w:val="20"/>
        </w:rPr>
        <w:t xml:space="preserve"> as legacy BFR.</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Up to UE implementation to use L1-filtered RSRP value or non-filtered RSRP value for trigger event evaluation.</w:t>
      </w:r>
    </w:p>
    <w:p>
      <w:pPr>
        <w:pStyle w:val="99"/>
        <w:snapToGrid w:val="0"/>
        <w:spacing w:before="60" w:beforeLines="25" w:after="60" w:afterLines="25" w:line="300" w:lineRule="auto"/>
        <w:ind w:firstLine="0" w:firstLineChars="0"/>
        <w:jc w:val="both"/>
        <w:rPr>
          <w:rFonts w:eastAsia="宋体"/>
          <w:szCs w:val="20"/>
        </w:rPr>
      </w:pPr>
      <w:r>
        <w:rPr>
          <w:rFonts w:hint="eastAsia" w:eastAsia="宋体"/>
          <w:b/>
          <w:bCs/>
          <w:szCs w:val="20"/>
          <w:u w:val="single"/>
        </w:rPr>
        <w:t>Configuration of threshold values</w:t>
      </w:r>
      <w:r>
        <w:rPr>
          <w:rFonts w:hint="eastAsia" w:eastAsia="宋体"/>
          <w:szCs w:val="20"/>
        </w:rPr>
        <w:t xml:space="preserve"> </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The candidate values configured to the threshold value of a trigger event might be decided by RAN2, but RAN1 should consider whether different threshold values of a given trigger event can be configured to different beam report configurations.</w:t>
      </w:r>
    </w:p>
    <w:p>
      <w:pPr>
        <w:pStyle w:val="99"/>
        <w:numPr>
          <w:ilvl w:val="0"/>
          <w:numId w:val="18"/>
        </w:numPr>
        <w:snapToGrid w:val="0"/>
        <w:spacing w:before="60" w:beforeLines="25" w:after="60" w:afterLines="25" w:line="300" w:lineRule="auto"/>
        <w:ind w:firstLineChars="0"/>
        <w:jc w:val="both"/>
        <w:rPr>
          <w:rFonts w:eastAsia="宋体"/>
          <w:szCs w:val="20"/>
        </w:rPr>
      </w:pPr>
      <w:r>
        <w:rPr>
          <w:rFonts w:hint="eastAsia" w:eastAsia="宋体"/>
          <w:szCs w:val="20"/>
        </w:rPr>
        <w:t xml:space="preserve">Although the number of beam report configurations on a carrier has not been discussed yet, it should be a common understanding that UE-initiated beam reporting can be configured on multiple carriers. Considering a UE configured with CA operation can work on carrier components of which the central frequency diverse significantly, relevance between the beam quality changing trend of different carriers might exist, but the absolute change value can be diverse. Hence, different threshold values configured for </w:t>
      </w:r>
      <w:r>
        <w:rPr>
          <w:rFonts w:eastAsia="宋体"/>
          <w:szCs w:val="20"/>
        </w:rPr>
        <w:t>respective</w:t>
      </w:r>
      <w:r>
        <w:rPr>
          <w:rFonts w:hint="eastAsia" w:eastAsia="宋体"/>
          <w:szCs w:val="20"/>
        </w:rPr>
        <w:t xml:space="preserve"> beam report configurations should be supported, especially for the case that reference signals for beam report configurations are on different carriers.</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 xml:space="preserve">Proposal </w:t>
      </w:r>
      <w:r>
        <w:rPr>
          <w:rFonts w:eastAsia="宋体"/>
          <w:b/>
          <w:bCs/>
          <w:i/>
          <w:iCs/>
          <w:szCs w:val="20"/>
        </w:rPr>
        <w:t>5</w:t>
      </w:r>
      <w:r>
        <w:rPr>
          <w:rFonts w:hint="eastAsia" w:eastAsia="宋体"/>
          <w:b/>
          <w:bCs/>
          <w:i/>
          <w:iCs/>
          <w:szCs w:val="20"/>
        </w:rPr>
        <w:t>:</w:t>
      </w:r>
      <w:r>
        <w:rPr>
          <w:rFonts w:hint="eastAsia" w:eastAsia="宋体"/>
          <w:i/>
          <w:iCs/>
          <w:szCs w:val="20"/>
        </w:rPr>
        <w:t xml:space="preserve"> Support to configure </w:t>
      </w:r>
      <w:r>
        <w:rPr>
          <w:rFonts w:eastAsia="宋体"/>
          <w:i/>
          <w:iCs/>
          <w:szCs w:val="20"/>
        </w:rPr>
        <w:t>a</w:t>
      </w:r>
      <w:r>
        <w:rPr>
          <w:rFonts w:hint="eastAsia" w:eastAsia="宋体"/>
          <w:i/>
          <w:iCs/>
          <w:szCs w:val="20"/>
        </w:rPr>
        <w:t xml:space="preserve"> threshold value of trigger event </w:t>
      </w:r>
      <w:r>
        <w:rPr>
          <w:rFonts w:eastAsia="宋体"/>
          <w:i/>
          <w:iCs/>
          <w:szCs w:val="20"/>
        </w:rPr>
        <w:t xml:space="preserve">specific </w:t>
      </w:r>
      <w:r>
        <w:rPr>
          <w:rFonts w:hint="eastAsia" w:eastAsia="宋体"/>
          <w:i/>
          <w:iCs/>
          <w:szCs w:val="20"/>
        </w:rPr>
        <w:t>to UE-initiated beam report configuration.</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the candidate threshold values are up to RAN2.</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Contents for UE-initiated Beam Reporting</w:t>
      </w:r>
    </w:p>
    <w:p>
      <w:pPr>
        <w:snapToGrid w:val="0"/>
        <w:spacing w:before="72" w:beforeLines="30" w:after="72" w:afterLines="30" w:line="288" w:lineRule="auto"/>
        <w:jc w:val="both"/>
        <w:rPr>
          <w:rFonts w:eastAsia="宋体"/>
          <w:b/>
          <w:sz w:val="28"/>
          <w:szCs w:val="28"/>
        </w:rPr>
      </w:pPr>
      <w:r>
        <w:rPr>
          <w:rFonts w:hint="eastAsia" w:eastAsia="宋体"/>
        </w:rPr>
        <w:t xml:space="preserve">In RAN1#116 meeting, the following agreement on signaling contents of a UE-initiated beam report was </w:t>
      </w:r>
      <w:r>
        <w:rPr>
          <w:rFonts w:eastAsia="宋体"/>
        </w:rPr>
        <w:t>reached</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5"/>
              <w:snapToGrid w:val="0"/>
              <w:spacing w:before="60" w:after="60" w:afterAutospacing="0" w:line="240" w:lineRule="auto"/>
              <w:ind w:firstLine="0"/>
              <w:rPr>
                <w:rFonts w:ascii="Times" w:hAnsi="Times" w:eastAsia="等线" w:cs="Times"/>
                <w:highlight w:val="green"/>
                <w:lang w:val="en-US" w:eastAsia="zh-CN"/>
              </w:rPr>
            </w:pPr>
            <w:r>
              <w:rPr>
                <w:rFonts w:eastAsia="等线"/>
                <w:b/>
                <w:bCs/>
                <w:u w:val="single"/>
                <w:lang w:val="en-US" w:eastAsia="zh-CN"/>
              </w:rPr>
              <w:t>Agreement</w:t>
            </w:r>
          </w:p>
          <w:p>
            <w:pPr>
              <w:overflowPunct w:val="0"/>
              <w:autoSpaceDE w:val="0"/>
              <w:autoSpaceDN w:val="0"/>
              <w:adjustRightInd w:val="0"/>
              <w:snapToGrid w:val="0"/>
              <w:spacing w:before="72" w:beforeLines="30" w:after="72" w:afterLines="30" w:line="288" w:lineRule="auto"/>
              <w:jc w:val="both"/>
              <w:textAlignment w:val="baseline"/>
              <w:rPr>
                <w:rFonts w:cs="Times"/>
                <w:color w:val="000000"/>
                <w:szCs w:val="20"/>
              </w:rPr>
            </w:pPr>
            <w:r>
              <w:rPr>
                <w:rFonts w:cs="Times"/>
                <w:color w:val="000000"/>
                <w:szCs w:val="20"/>
              </w:rPr>
              <w:t xml:space="preserve">On UE-initiated/event-driven beam reporting, regarding signaling content(s), at least support DL RS resource indicator and L1-RSRP </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FFS: Study and decide whether additional contents can be supported.</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FFS: L1-RSRP format, e.g., absolute and/or differential value.</w:t>
            </w:r>
          </w:p>
          <w:p>
            <w:pPr>
              <w:numPr>
                <w:ilvl w:val="0"/>
                <w:numId w:val="17"/>
              </w:numPr>
              <w:snapToGrid w:val="0"/>
              <w:spacing w:before="72" w:beforeLines="30" w:after="72" w:afterLines="30" w:line="288" w:lineRule="auto"/>
              <w:ind w:left="466" w:firstLine="0"/>
              <w:jc w:val="both"/>
              <w:rPr>
                <w:rFonts w:cs="Times"/>
                <w:color w:val="000000"/>
                <w:szCs w:val="20"/>
              </w:rPr>
            </w:pPr>
            <w:r>
              <w:rPr>
                <w:rFonts w:cs="Times"/>
                <w:color w:val="000000"/>
                <w:szCs w:val="20"/>
              </w:rPr>
              <w:t>Note: Above does not imply to preclude discussion on L1-RSRP filtering.</w:t>
            </w:r>
          </w:p>
          <w:p>
            <w:pPr>
              <w:numPr>
                <w:ilvl w:val="0"/>
                <w:numId w:val="17"/>
              </w:numPr>
              <w:snapToGrid w:val="0"/>
              <w:spacing w:before="72" w:beforeLines="30" w:after="72" w:afterLines="30" w:line="288" w:lineRule="auto"/>
              <w:ind w:left="466" w:firstLine="0"/>
              <w:jc w:val="both"/>
              <w:rPr>
                <w:rFonts w:eastAsia="宋体"/>
              </w:rPr>
            </w:pPr>
            <w:r>
              <w:rPr>
                <w:rFonts w:cs="Times"/>
                <w:color w:val="000000"/>
                <w:szCs w:val="20"/>
              </w:rPr>
              <w:t>The actual reported content depends on the triggering event</w:t>
            </w:r>
          </w:p>
          <w:p>
            <w:pPr>
              <w:numPr>
                <w:ilvl w:val="1"/>
                <w:numId w:val="17"/>
              </w:numPr>
              <w:snapToGrid w:val="0"/>
              <w:spacing w:before="72" w:beforeLines="30" w:after="72" w:afterLines="30" w:line="288" w:lineRule="auto"/>
              <w:ind w:left="886" w:firstLine="0"/>
              <w:jc w:val="both"/>
              <w:rPr>
                <w:rFonts w:eastAsia="宋体"/>
              </w:rPr>
            </w:pPr>
            <w:r>
              <w:rPr>
                <w:rFonts w:cs="Times"/>
                <w:color w:val="000000"/>
                <w:szCs w:val="20"/>
              </w:rPr>
              <w:t>Support of one or multiple events will be discussed separately</w:t>
            </w:r>
          </w:p>
        </w:tc>
      </w:tr>
    </w:tbl>
    <w:p>
      <w:pPr>
        <w:snapToGrid w:val="0"/>
        <w:spacing w:before="72" w:beforeLines="30" w:after="72" w:afterLines="30" w:line="288" w:lineRule="auto"/>
        <w:jc w:val="both"/>
        <w:rPr>
          <w:rFonts w:eastAsia="宋体"/>
        </w:rPr>
      </w:pPr>
      <w:r>
        <w:rPr>
          <w:rFonts w:hint="eastAsia" w:eastAsia="宋体"/>
        </w:rPr>
        <w:t>Regarding the signaling contents for UE-initiated beam reporting, the legacy CSI reporting for beam reporting can be considered as a starting point (see the following excerpt in TS 38.212).</w:t>
      </w:r>
    </w:p>
    <w:p>
      <w:pPr>
        <w:numPr>
          <w:ilvl w:val="0"/>
          <w:numId w:val="19"/>
        </w:numPr>
        <w:snapToGrid w:val="0"/>
        <w:spacing w:before="72" w:beforeLines="30" w:after="72" w:afterLines="30" w:line="288" w:lineRule="auto"/>
        <w:jc w:val="both"/>
        <w:rPr>
          <w:rFonts w:eastAsia="宋体"/>
        </w:rPr>
      </w:pPr>
      <w:r>
        <w:rPr>
          <w:rFonts w:eastAsia="宋体"/>
          <w:b/>
          <w:bCs/>
        </w:rPr>
        <w:t>TS 38.212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3"/>
                <w:numId w:val="0"/>
              </w:numPr>
              <w:tabs>
                <w:tab w:val="left" w:pos="851"/>
                <w:tab w:val="clear" w:pos="432"/>
                <w:tab w:val="clear" w:pos="720"/>
              </w:tabs>
              <w:spacing w:before="72" w:beforeLines="30" w:after="72" w:afterLines="30" w:line="288" w:lineRule="auto"/>
              <w:rPr>
                <w:b w:val="0"/>
                <w:bCs w:val="0"/>
              </w:rPr>
            </w:pPr>
            <w:r>
              <w:rPr>
                <w:rFonts w:hint="eastAsia"/>
                <w:b w:val="0"/>
                <w:bCs w:val="0"/>
              </w:rPr>
              <w:t>6.3.1.1</w:t>
            </w:r>
            <w:r>
              <w:rPr>
                <w:rFonts w:hint="eastAsia"/>
                <w:b w:val="0"/>
                <w:bCs w:val="0"/>
              </w:rPr>
              <w:tab/>
            </w:r>
            <w:r>
              <w:rPr>
                <w:rFonts w:hint="eastAsia"/>
                <w:b w:val="0"/>
                <w:bCs w:val="0"/>
              </w:rPr>
              <w:t>UCI bit sequence generation</w:t>
            </w:r>
          </w:p>
          <w:p>
            <w:pPr>
              <w:pStyle w:val="6"/>
              <w:numPr>
                <w:ilvl w:val="4"/>
                <w:numId w:val="0"/>
              </w:numPr>
              <w:tabs>
                <w:tab w:val="left" w:pos="851"/>
              </w:tabs>
              <w:spacing w:before="72" w:beforeLines="30" w:after="72" w:afterLines="30" w:line="288" w:lineRule="auto"/>
              <w:rPr>
                <w:rFonts w:hint="default" w:ascii="Arial" w:hAnsi="Arial" w:cs="Arial"/>
                <w:b w:val="0"/>
                <w:bCs w:val="0"/>
                <w:color w:val="auto"/>
                <w:sz w:val="22"/>
                <w:szCs w:val="18"/>
              </w:rPr>
            </w:pPr>
            <w:r>
              <w:rPr>
                <w:rFonts w:hint="default" w:ascii="Arial" w:hAnsi="Arial" w:cs="Arial"/>
                <w:b w:val="0"/>
                <w:bCs w:val="0"/>
                <w:color w:val="auto"/>
                <w:sz w:val="22"/>
                <w:szCs w:val="18"/>
              </w:rPr>
              <w:t>6.3.1.1.2</w:t>
            </w:r>
            <w:r>
              <w:rPr>
                <w:rFonts w:hint="default" w:ascii="Arial" w:hAnsi="Arial" w:cs="Arial"/>
                <w:b w:val="0"/>
                <w:bCs w:val="0"/>
                <w:color w:val="auto"/>
                <w:sz w:val="22"/>
                <w:szCs w:val="18"/>
              </w:rPr>
              <w:tab/>
            </w:r>
            <w:r>
              <w:rPr>
                <w:rFonts w:hint="default" w:ascii="Arial" w:hAnsi="Arial" w:cs="Arial"/>
                <w:b w:val="0"/>
                <w:bCs w:val="0"/>
                <w:color w:val="auto"/>
                <w:sz w:val="22"/>
                <w:szCs w:val="18"/>
              </w:rPr>
              <w:t>CSI only</w:t>
            </w:r>
          </w:p>
          <w:p>
            <w:pPr>
              <w:spacing w:before="72" w:beforeLines="30" w:after="72" w:afterLines="30" w:line="288" w:lineRule="auto"/>
              <w:jc w:val="center"/>
            </w:pPr>
            <w:r>
              <w:rPr>
                <w:color w:val="FF0000"/>
              </w:rPr>
              <w:t>&lt;Irrelevant parts are omitted&gt;</w:t>
            </w:r>
          </w:p>
          <w:p>
            <w:pPr>
              <w:spacing w:before="72" w:beforeLines="30" w:after="72" w:afterLines="30" w:line="288" w:lineRule="auto"/>
              <w:jc w:val="both"/>
            </w:pPr>
            <w:r>
              <w:t xml:space="preserve">The bitwidth </w:t>
            </w:r>
            <w:r>
              <w:rPr>
                <w:rFonts w:hint="eastAsia"/>
              </w:rPr>
              <w:t>for</w:t>
            </w:r>
            <w:r>
              <w:t xml:space="preserve"> CRI</w:t>
            </w:r>
            <w:r>
              <w:rPr>
                <w:rFonts w:hint="eastAsia"/>
              </w:rPr>
              <w:t>, SSBRI, RSRP, differential RSRP</w:t>
            </w:r>
            <w:r>
              <w:t xml:space="preserve">, and </w:t>
            </w:r>
            <w:r>
              <w:rPr>
                <w:rFonts w:ascii="Arial" w:hAnsi="Arial"/>
                <w:sz w:val="18"/>
              </w:rPr>
              <w:t>CapabilityIndex</w:t>
            </w:r>
            <w:r>
              <w:rPr>
                <w:rFonts w:hint="eastAsia"/>
              </w:rPr>
              <w:t xml:space="preserve"> are provided in Table 6.3.1.1.2-6.</w:t>
            </w:r>
          </w:p>
          <w:p>
            <w:pPr>
              <w:pStyle w:val="40"/>
              <w:spacing w:before="72" w:beforeLines="30" w:after="72" w:afterLines="30" w:line="288" w:lineRule="auto"/>
              <w:rPr>
                <w:lang w:eastAsia="zh-CN"/>
              </w:rPr>
            </w:pPr>
            <w:r>
              <w:t xml:space="preserve">Table </w:t>
            </w:r>
            <w:r>
              <w:rPr>
                <w:rFonts w:hint="eastAsia"/>
                <w:lang w:eastAsia="zh-CN"/>
              </w:rPr>
              <w:t>6.3.1.1.2-6</w:t>
            </w:r>
            <w:r>
              <w:t>:</w:t>
            </w:r>
            <w:r>
              <w:rPr>
                <w:rFonts w:hint="eastAsia"/>
                <w:lang w:eastAsia="zh-CN"/>
              </w:rPr>
              <w:t xml:space="preserve"> CRI, </w:t>
            </w:r>
            <w:r>
              <w:rPr>
                <w:lang w:eastAsia="zh-CN"/>
              </w:rPr>
              <w:t>SSBRI</w:t>
            </w:r>
            <w:r>
              <w:rPr>
                <w:rFonts w:hint="eastAsia"/>
                <w:lang w:eastAsia="zh-CN"/>
              </w:rPr>
              <w:t>, RSRP</w:t>
            </w:r>
            <w:r>
              <w:rPr>
                <w:lang w:eastAsia="zh-CN"/>
              </w:rPr>
              <w:t>, and CapabilityIndex</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59"/>
              <w:gridCol w:w="2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shd w:val="clear" w:color="auto" w:fill="E0E0E0"/>
                  <w:vAlign w:val="center"/>
                </w:tcPr>
                <w:p>
                  <w:pPr>
                    <w:pStyle w:val="63"/>
                    <w:spacing w:before="72" w:beforeLines="30" w:after="72" w:afterLines="30" w:line="288" w:lineRule="auto"/>
                  </w:pPr>
                  <w:r>
                    <w:t>Field</w:t>
                  </w:r>
                </w:p>
              </w:tc>
              <w:tc>
                <w:tcPr>
                  <w:tcW w:w="2456" w:type="dxa"/>
                  <w:shd w:val="clear" w:color="auto" w:fill="E0E0E0"/>
                  <w:vAlign w:val="center"/>
                </w:tcPr>
                <w:p>
                  <w:pPr>
                    <w:pStyle w:val="63"/>
                    <w:spacing w:before="72" w:beforeLines="30" w:after="72" w:afterLines="30" w:line="288" w:lineRule="auto"/>
                  </w:pPr>
                  <w: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CRI</w:t>
                  </w:r>
                </w:p>
              </w:tc>
              <w:tc>
                <w:tcPr>
                  <w:tcW w:w="2456" w:type="dxa"/>
                  <w:vAlign w:val="center"/>
                </w:tcPr>
                <w:p>
                  <w:pPr>
                    <w:pStyle w:val="42"/>
                    <w:spacing w:before="72" w:beforeLines="30" w:after="72" w:afterLines="30" w:line="288" w:lineRule="auto"/>
                    <w:rPr>
                      <w:lang w:eastAsia="zh-CN"/>
                    </w:rPr>
                  </w:pPr>
                  <w:r>
                    <w:rPr>
                      <w:position w:val="-12"/>
                      <w:sz w:val="11"/>
                      <w:lang w:eastAsia="zh-CN"/>
                    </w:rPr>
                    <w:object>
                      <v:shape id="_x0000_i1027" o:spt="75" type="#_x0000_t75" style="height:19.65pt;width:63.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lang w:eastAsia="zh-CN"/>
                    </w:rPr>
                    <w:t>SSBRI</w:t>
                  </w:r>
                </w:p>
              </w:tc>
              <w:tc>
                <w:tcPr>
                  <w:tcW w:w="2456" w:type="dxa"/>
                  <w:vAlign w:val="center"/>
                </w:tcPr>
                <w:p>
                  <w:pPr>
                    <w:pStyle w:val="42"/>
                    <w:spacing w:before="72" w:beforeLines="30" w:after="72" w:afterLines="30" w:line="288" w:lineRule="auto"/>
                    <w:rPr>
                      <w:lang w:eastAsia="zh-CN"/>
                    </w:rPr>
                  </w:pPr>
                  <w:r>
                    <w:rPr>
                      <w:position w:val="-12"/>
                      <w:lang w:eastAsia="zh-CN"/>
                    </w:rPr>
                    <w:object>
                      <v:shape id="_x0000_i1028" o:spt="75" type="#_x0000_t75" style="height:19.65pt;width:52.3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RSRP</w:t>
                  </w:r>
                </w:p>
              </w:tc>
              <w:tc>
                <w:tcPr>
                  <w:tcW w:w="2456" w:type="dxa"/>
                  <w:vAlign w:val="center"/>
                </w:tcPr>
                <w:p>
                  <w:pPr>
                    <w:pStyle w:val="42"/>
                    <w:spacing w:before="72" w:beforeLines="30" w:after="72" w:afterLines="30" w:line="288" w:lineRule="auto"/>
                    <w:rPr>
                      <w:lang w:eastAsia="zh-CN"/>
                    </w:rPr>
                  </w:pP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vAlign w:val="center"/>
                </w:tcPr>
                <w:p>
                  <w:pPr>
                    <w:pStyle w:val="42"/>
                    <w:spacing w:before="72" w:beforeLines="30" w:after="72" w:afterLines="30" w:line="288" w:lineRule="auto"/>
                    <w:rPr>
                      <w:lang w:eastAsia="zh-CN"/>
                    </w:rPr>
                  </w:pPr>
                  <w:r>
                    <w:rPr>
                      <w:rFonts w:hint="eastAsia"/>
                      <w:lang w:eastAsia="zh-CN"/>
                    </w:rPr>
                    <w:t>Differential RSRP</w:t>
                  </w:r>
                </w:p>
              </w:tc>
              <w:tc>
                <w:tcPr>
                  <w:tcW w:w="2456" w:type="dxa"/>
                  <w:vAlign w:val="center"/>
                </w:tcPr>
                <w:p>
                  <w:pPr>
                    <w:pStyle w:val="42"/>
                    <w:spacing w:before="72" w:beforeLines="30" w:after="72" w:afterLines="30" w:line="288" w:lineRule="auto"/>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9" w:type="dxa"/>
                  <w:tcBorders>
                    <w:top w:val="single" w:color="auto" w:sz="4" w:space="0"/>
                    <w:left w:val="single" w:color="auto" w:sz="4" w:space="0"/>
                    <w:bottom w:val="single" w:color="auto" w:sz="4" w:space="0"/>
                    <w:right w:val="single" w:color="auto" w:sz="4" w:space="0"/>
                  </w:tcBorders>
                  <w:vAlign w:val="center"/>
                </w:tcPr>
                <w:p>
                  <w:pPr>
                    <w:pStyle w:val="42"/>
                    <w:spacing w:before="72" w:beforeLines="30" w:after="72" w:afterLines="30" w:line="288" w:lineRule="auto"/>
                    <w:rPr>
                      <w:lang w:eastAsia="zh-CN"/>
                    </w:rPr>
                  </w:pPr>
                  <w:r>
                    <w:rPr>
                      <w:lang w:eastAsia="zh-CN"/>
                    </w:rPr>
                    <w:t>CapabilityIndex</w:t>
                  </w:r>
                </w:p>
              </w:tc>
              <w:tc>
                <w:tcPr>
                  <w:tcW w:w="2456" w:type="dxa"/>
                  <w:tcBorders>
                    <w:top w:val="single" w:color="auto" w:sz="4" w:space="0"/>
                    <w:left w:val="single" w:color="auto" w:sz="4" w:space="0"/>
                    <w:bottom w:val="single" w:color="auto" w:sz="4" w:space="0"/>
                    <w:right w:val="single" w:color="auto" w:sz="4" w:space="0"/>
                  </w:tcBorders>
                  <w:vAlign w:val="center"/>
                </w:tcPr>
                <w:p>
                  <w:pPr>
                    <w:pStyle w:val="42"/>
                    <w:spacing w:before="72" w:beforeLines="30" w:after="72" w:afterLines="30" w:line="288" w:lineRule="auto"/>
                    <w:rPr>
                      <w:lang w:eastAsia="zh-CN"/>
                    </w:rPr>
                  </w:pPr>
                  <w:r>
                    <w:rPr>
                      <w:lang w:eastAsia="zh-CN"/>
                    </w:rPr>
                    <w:t>2</w:t>
                  </w:r>
                </w:p>
              </w:tc>
            </w:tr>
          </w:tbl>
          <w:p>
            <w:pPr>
              <w:spacing w:before="72" w:beforeLines="30" w:after="72" w:afterLines="30" w:line="288" w:lineRule="auto"/>
              <w:jc w:val="both"/>
            </w:pPr>
            <w:r>
              <w:rPr>
                <w:rFonts w:hint="eastAsia"/>
              </w:rPr>
              <w:t xml:space="preserve">where </w:t>
            </w:r>
            <w:r>
              <w:rPr>
                <w:position w:val="-12"/>
              </w:rPr>
              <w:object>
                <v:shape id="_x0000_i1029" o:spt="75" type="#_x0000_t75" style="height:19.65pt;width:37.6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eastAsia"/>
              </w:rPr>
              <w:t xml:space="preserve"> is the </w:t>
            </w:r>
            <w:r>
              <w:t xml:space="preserve">number of CSI-RS resources in </w:t>
            </w:r>
            <w:r>
              <w:rPr>
                <w:rFonts w:hint="eastAsia"/>
              </w:rPr>
              <w:t>the</w:t>
            </w:r>
            <w:r>
              <w:t xml:space="preserve"> </w:t>
            </w:r>
            <w:r>
              <w:rPr>
                <w:rFonts w:hint="eastAsia"/>
              </w:rPr>
              <w:t xml:space="preserve">corresponding resource set, and </w:t>
            </w:r>
            <w:r>
              <w:rPr>
                <w:position w:val="-12"/>
              </w:rPr>
              <w:object>
                <v:shape id="_x0000_i1030" o:spt="75" type="#_x0000_t75" style="height:19.65pt;width:27.2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rPr>
              <w:t xml:space="preserve"> is the configured number of SS/PBCH blocks </w:t>
            </w:r>
            <w:r>
              <w:t>in the corresponding</w:t>
            </w:r>
            <w:r>
              <w:rPr>
                <w:rFonts w:hint="eastAsia"/>
              </w:rPr>
              <w:t xml:space="preserve"> </w:t>
            </w:r>
            <w:r>
              <w:t>resource set</w:t>
            </w:r>
            <w:r>
              <w:rPr>
                <w:rFonts w:hint="eastAsia"/>
              </w:rPr>
              <w:t xml:space="preserve"> for reporting </w:t>
            </w:r>
            <w:r>
              <w:t>'</w:t>
            </w:r>
            <w:r>
              <w:rPr>
                <w:rFonts w:hint="eastAsia"/>
              </w:rPr>
              <w:t>ssb-Index-RSRP</w:t>
            </w:r>
            <w:r>
              <w:t>'</w:t>
            </w:r>
            <w:r>
              <w:rPr>
                <w:rFonts w:hint="eastAsia"/>
              </w:rPr>
              <w:t>.</w:t>
            </w:r>
          </w:p>
          <w:p>
            <w:pPr>
              <w:spacing w:before="72" w:beforeLines="30" w:after="72" w:afterLines="30" w:line="288" w:lineRule="auto"/>
              <w:jc w:val="center"/>
            </w:pPr>
            <w:r>
              <w:rPr>
                <w:color w:val="FF0000"/>
              </w:rPr>
              <w:t>&lt;Irrelevant parts are omitted&gt;</w:t>
            </w:r>
          </w:p>
        </w:tc>
      </w:tr>
    </w:tbl>
    <w:p>
      <w:pPr>
        <w:snapToGrid w:val="0"/>
        <w:spacing w:before="72" w:beforeLines="30" w:after="72" w:afterLines="30" w:line="288" w:lineRule="auto"/>
        <w:jc w:val="both"/>
        <w:rPr>
          <w:rFonts w:eastAsia="宋体"/>
        </w:rPr>
      </w:pPr>
      <w:r>
        <w:rPr>
          <w:rFonts w:hint="eastAsia" w:eastAsia="宋体"/>
        </w:rPr>
        <w:t>As aforementioned, we prefer to support Event-2 firstly to make progress on the discussion. Therefore, the signaling contents of UEIBR once Event-2 is detected are analyzed as follows.</w:t>
      </w:r>
    </w:p>
    <w:p>
      <w:pPr>
        <w:numPr>
          <w:ilvl w:val="0"/>
          <w:numId w:val="18"/>
        </w:numPr>
        <w:snapToGrid w:val="0"/>
        <w:spacing w:before="72" w:beforeLines="30" w:after="72" w:afterLines="30" w:line="288" w:lineRule="auto"/>
        <w:jc w:val="both"/>
        <w:rPr>
          <w:rFonts w:eastAsia="宋体"/>
          <w:b/>
          <w:bCs/>
          <w:u w:val="single"/>
        </w:rPr>
      </w:pPr>
      <w:r>
        <w:rPr>
          <w:rFonts w:cs="Times"/>
          <w:b/>
          <w:bCs/>
          <w:color w:val="000000"/>
          <w:szCs w:val="20"/>
          <w:u w:val="single"/>
        </w:rPr>
        <w:t>DL RS resource indicator</w:t>
      </w:r>
    </w:p>
    <w:p>
      <w:pPr>
        <w:numPr>
          <w:ilvl w:val="1"/>
          <w:numId w:val="18"/>
        </w:numPr>
        <w:snapToGrid w:val="0"/>
        <w:spacing w:before="72" w:beforeLines="30" w:after="72" w:afterLines="30" w:line="288" w:lineRule="auto"/>
        <w:jc w:val="both"/>
        <w:rPr>
          <w:rFonts w:eastAsia="宋体"/>
        </w:rPr>
      </w:pPr>
      <w:r>
        <w:rPr>
          <w:rFonts w:hint="eastAsia" w:eastAsia="宋体"/>
        </w:rPr>
        <w:t>CRI or SSBRI can be reported as legacy.</w:t>
      </w:r>
    </w:p>
    <w:p>
      <w:pPr>
        <w:numPr>
          <w:ilvl w:val="1"/>
          <w:numId w:val="18"/>
        </w:numPr>
        <w:snapToGrid w:val="0"/>
        <w:spacing w:before="72" w:beforeLines="30" w:after="72" w:afterLines="30" w:line="288" w:lineRule="auto"/>
        <w:jc w:val="both"/>
        <w:rPr>
          <w:rFonts w:eastAsia="宋体"/>
        </w:rPr>
      </w:pPr>
      <w:r>
        <w:rPr>
          <w:rFonts w:hint="eastAsia" w:eastAsia="宋体"/>
        </w:rPr>
        <w:t>CRI or SSBRI corresponds to the new beams are reported.</w:t>
      </w:r>
    </w:p>
    <w:p>
      <w:pPr>
        <w:numPr>
          <w:ilvl w:val="1"/>
          <w:numId w:val="18"/>
        </w:numPr>
        <w:snapToGrid w:val="0"/>
        <w:spacing w:before="72" w:beforeLines="30" w:after="72" w:afterLines="30" w:line="288" w:lineRule="auto"/>
        <w:jc w:val="both"/>
        <w:rPr>
          <w:rFonts w:eastAsia="宋体"/>
        </w:rPr>
      </w:pPr>
      <w:r>
        <w:rPr>
          <w:rFonts w:hint="eastAsia" w:eastAsia="宋体"/>
        </w:rPr>
        <w:t xml:space="preserve">Since the current beam is not explicitly configured, the corresponding RS cannot be indicated by CRI/SSBRI explicitly. </w:t>
      </w:r>
    </w:p>
    <w:p>
      <w:pPr>
        <w:numPr>
          <w:ilvl w:val="0"/>
          <w:numId w:val="18"/>
        </w:numPr>
        <w:snapToGrid w:val="0"/>
        <w:spacing w:before="72" w:beforeLines="30" w:after="72" w:afterLines="30" w:line="288" w:lineRule="auto"/>
        <w:jc w:val="both"/>
        <w:rPr>
          <w:rFonts w:eastAsia="宋体"/>
          <w:b/>
          <w:bCs/>
          <w:u w:val="single"/>
        </w:rPr>
      </w:pPr>
      <w:r>
        <w:rPr>
          <w:rFonts w:hint="eastAsia" w:eastAsia="宋体"/>
          <w:b/>
          <w:bCs/>
          <w:u w:val="single"/>
        </w:rPr>
        <w:t>L1-RSRP</w:t>
      </w:r>
    </w:p>
    <w:p>
      <w:pPr>
        <w:numPr>
          <w:ilvl w:val="1"/>
          <w:numId w:val="18"/>
        </w:numPr>
        <w:snapToGrid w:val="0"/>
        <w:spacing w:before="72" w:beforeLines="30" w:after="72" w:afterLines="30" w:line="288" w:lineRule="auto"/>
        <w:jc w:val="both"/>
        <w:rPr>
          <w:rFonts w:eastAsia="宋体"/>
        </w:rPr>
      </w:pPr>
      <w:r>
        <w:rPr>
          <w:rFonts w:hint="eastAsia" w:eastAsia="宋体"/>
        </w:rPr>
        <w:t>If absolute L1-RSRP value of a DL RS is indicated, 7 bits are needed.</w:t>
      </w:r>
    </w:p>
    <w:p>
      <w:pPr>
        <w:numPr>
          <w:ilvl w:val="1"/>
          <w:numId w:val="18"/>
        </w:numPr>
        <w:snapToGrid w:val="0"/>
        <w:spacing w:before="72" w:beforeLines="30" w:after="72" w:afterLines="30" w:line="288" w:lineRule="auto"/>
        <w:jc w:val="both"/>
        <w:rPr>
          <w:rFonts w:eastAsia="宋体"/>
        </w:rPr>
      </w:pPr>
      <w:r>
        <w:rPr>
          <w:rFonts w:hint="eastAsia" w:eastAsia="宋体"/>
        </w:rPr>
        <w:t xml:space="preserve">If differential L1-RSRP value of a DL RS is indicated, 4 bits are needed. </w:t>
      </w:r>
    </w:p>
    <w:p>
      <w:pPr>
        <w:numPr>
          <w:ilvl w:val="1"/>
          <w:numId w:val="18"/>
        </w:numPr>
        <w:snapToGrid w:val="0"/>
        <w:spacing w:before="72" w:beforeLines="30" w:after="72" w:afterLines="30" w:line="288" w:lineRule="auto"/>
        <w:jc w:val="both"/>
        <w:rPr>
          <w:rFonts w:eastAsia="宋体"/>
        </w:rPr>
      </w:pPr>
      <w:r>
        <w:rPr>
          <w:rFonts w:hint="eastAsia" w:eastAsia="宋体"/>
        </w:rPr>
        <w:t>For new beams, differential L1-RSRP value can be indicated and it can be calculated by L1-RSRP value of the new beam minus that of the current beam.</w:t>
      </w:r>
    </w:p>
    <w:p>
      <w:pPr>
        <w:numPr>
          <w:ilvl w:val="0"/>
          <w:numId w:val="18"/>
        </w:numPr>
        <w:snapToGrid w:val="0"/>
        <w:spacing w:before="72" w:beforeLines="30" w:after="72" w:afterLines="30" w:line="288" w:lineRule="auto"/>
        <w:jc w:val="both"/>
        <w:rPr>
          <w:rFonts w:eastAsia="宋体"/>
          <w:b/>
          <w:bCs/>
          <w:u w:val="single"/>
        </w:rPr>
      </w:pPr>
      <w:r>
        <w:rPr>
          <w:rFonts w:eastAsia="宋体"/>
          <w:b/>
          <w:bCs/>
          <w:u w:val="single"/>
        </w:rPr>
        <w:t>Status of the current beam</w:t>
      </w:r>
    </w:p>
    <w:p>
      <w:pPr>
        <w:numPr>
          <w:ilvl w:val="1"/>
          <w:numId w:val="18"/>
        </w:numPr>
        <w:snapToGrid w:val="0"/>
        <w:spacing w:before="72" w:beforeLines="30" w:after="72" w:afterLines="30" w:line="288" w:lineRule="auto"/>
        <w:jc w:val="both"/>
        <w:rPr>
          <w:rFonts w:eastAsia="宋体"/>
        </w:rPr>
      </w:pPr>
      <w:r>
        <w:rPr>
          <w:rFonts w:hint="eastAsia" w:eastAsia="宋体"/>
        </w:rPr>
        <w:t xml:space="preserve">As for the current beam, since the differential L1-RSRP reporting is sufficient to provide network one or more beams better than the current one, the absolute L1-RSRP value might be unnecessary, hence one bit field indicating the status of the current beam can be reported. </w:t>
      </w:r>
    </w:p>
    <w:p>
      <w:pPr>
        <w:numPr>
          <w:ilvl w:val="0"/>
          <w:numId w:val="18"/>
        </w:numPr>
        <w:snapToGrid w:val="0"/>
        <w:spacing w:before="72" w:beforeLines="30" w:after="72" w:afterLines="30" w:line="288" w:lineRule="auto"/>
        <w:jc w:val="both"/>
        <w:rPr>
          <w:rFonts w:eastAsia="宋体"/>
          <w:b/>
          <w:bCs/>
          <w:u w:val="single"/>
        </w:rPr>
      </w:pPr>
      <w:r>
        <w:rPr>
          <w:rFonts w:hint="eastAsia" w:eastAsia="宋体"/>
          <w:b/>
          <w:bCs/>
          <w:u w:val="single"/>
        </w:rPr>
        <w:t>The number of new beams to be reported</w:t>
      </w:r>
    </w:p>
    <w:p>
      <w:pPr>
        <w:numPr>
          <w:ilvl w:val="1"/>
          <w:numId w:val="18"/>
        </w:numPr>
        <w:snapToGrid w:val="0"/>
        <w:spacing w:before="72" w:beforeLines="30" w:after="72" w:afterLines="30" w:line="288" w:lineRule="auto"/>
        <w:jc w:val="both"/>
        <w:rPr>
          <w:rFonts w:eastAsia="宋体"/>
        </w:rPr>
      </w:pPr>
      <w:r>
        <w:rPr>
          <w:rFonts w:hint="eastAsia" w:eastAsia="宋体"/>
        </w:rPr>
        <w:t xml:space="preserve">Firstly, the number of reported beams for Event-2 should could be configured to be larger than 1 if legacy CSI framework is leveraged. </w:t>
      </w:r>
    </w:p>
    <w:p>
      <w:pPr>
        <w:numPr>
          <w:ilvl w:val="1"/>
          <w:numId w:val="18"/>
        </w:numPr>
        <w:snapToGrid w:val="0"/>
        <w:spacing w:before="72" w:beforeLines="30" w:after="72" w:afterLines="30" w:line="288" w:lineRule="auto"/>
        <w:jc w:val="both"/>
        <w:rPr>
          <w:rFonts w:eastAsia="宋体"/>
        </w:rPr>
      </w:pPr>
      <w:r>
        <w:rPr>
          <w:rFonts w:hint="eastAsia" w:eastAsia="宋体"/>
        </w:rPr>
        <w:t xml:space="preserve">Secondly, it should be clarified that whether all the reported new beams correspond to the </w:t>
      </w:r>
      <w:r>
        <w:rPr>
          <w:rFonts w:eastAsia="宋体"/>
        </w:rPr>
        <w:t>‘</w:t>
      </w:r>
      <w:r>
        <w:rPr>
          <w:rFonts w:hint="eastAsia" w:eastAsia="宋体"/>
        </w:rPr>
        <w:t>at least one new beam better than the current beam</w:t>
      </w:r>
      <w:r>
        <w:rPr>
          <w:rFonts w:eastAsia="宋体"/>
        </w:rPr>
        <w:t>’</w:t>
      </w:r>
      <w:r>
        <w:rPr>
          <w:rFonts w:hint="eastAsia" w:eastAsia="宋体"/>
        </w:rPr>
        <w:t xml:space="preserve"> or not. If yes, the number of reported new beams can be variable when the maximum number of reported beams is larger than 1. Otherwise, some beams which are not better than the current beam can be reported as well, which are redundant from the perspective of motivation for UEIBR.</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eastAsia="宋体"/>
          <w:b/>
          <w:bCs/>
          <w:i/>
          <w:iCs/>
        </w:rPr>
        <w:t>6</w:t>
      </w:r>
      <w:r>
        <w:rPr>
          <w:rFonts w:hint="eastAsia" w:eastAsia="宋体"/>
          <w:b/>
          <w:bCs/>
          <w:i/>
          <w:iCs/>
        </w:rPr>
        <w:t>:</w:t>
      </w:r>
      <w:r>
        <w:rPr>
          <w:rFonts w:hint="eastAsia" w:eastAsia="宋体"/>
          <w:i/>
          <w:iCs/>
        </w:rPr>
        <w:t xml:space="preserve"> Upon the supported trigger-event (i.e., Event-2), support that UL signaling content(s) of UEIBR should at least include the following:</w:t>
      </w:r>
    </w:p>
    <w:p>
      <w:pPr>
        <w:numPr>
          <w:ilvl w:val="0"/>
          <w:numId w:val="18"/>
        </w:numPr>
        <w:snapToGrid w:val="0"/>
        <w:spacing w:before="72" w:beforeLines="30" w:after="72" w:afterLines="30" w:line="288" w:lineRule="auto"/>
        <w:jc w:val="both"/>
        <w:rPr>
          <w:rFonts w:eastAsia="宋体"/>
          <w:i/>
          <w:iCs/>
        </w:rPr>
      </w:pPr>
      <w:r>
        <w:rPr>
          <w:rFonts w:hint="eastAsia" w:eastAsia="宋体"/>
          <w:i/>
          <w:iCs/>
        </w:rPr>
        <w:t>DL RS ID (e.g., CRI or SSBRI) of the new beam(s)</w:t>
      </w:r>
    </w:p>
    <w:p>
      <w:pPr>
        <w:numPr>
          <w:ilvl w:val="0"/>
          <w:numId w:val="18"/>
        </w:numPr>
        <w:snapToGrid w:val="0"/>
        <w:spacing w:before="72" w:beforeLines="30" w:after="72" w:afterLines="30" w:line="288" w:lineRule="auto"/>
        <w:jc w:val="both"/>
        <w:rPr>
          <w:rFonts w:eastAsia="宋体"/>
          <w:i/>
          <w:iCs/>
        </w:rPr>
      </w:pPr>
      <w:r>
        <w:rPr>
          <w:rFonts w:hint="eastAsia" w:eastAsia="宋体"/>
          <w:i/>
          <w:iCs/>
        </w:rPr>
        <w:t>Differential L1-RSRP value of the new beam(s)</w:t>
      </w:r>
    </w:p>
    <w:p>
      <w:pPr>
        <w:numPr>
          <w:ilvl w:val="1"/>
          <w:numId w:val="18"/>
        </w:numPr>
        <w:snapToGrid w:val="0"/>
        <w:spacing w:before="72" w:beforeLines="30" w:after="72" w:afterLines="30" w:line="288" w:lineRule="auto"/>
        <w:jc w:val="both"/>
        <w:rPr>
          <w:rFonts w:eastAsia="宋体"/>
          <w:i/>
          <w:iCs/>
        </w:rPr>
      </w:pPr>
      <w:r>
        <w:rPr>
          <w:rFonts w:hint="eastAsia" w:eastAsia="宋体"/>
          <w:i/>
          <w:iCs/>
        </w:rPr>
        <w:t>Differential L1-RSRP value is calculated by L1-RSRP of the new beam minus that of the current beam;</w:t>
      </w:r>
    </w:p>
    <w:p>
      <w:pPr>
        <w:numPr>
          <w:ilvl w:val="0"/>
          <w:numId w:val="18"/>
        </w:numPr>
        <w:snapToGrid w:val="0"/>
        <w:spacing w:before="72" w:beforeLines="30" w:after="72" w:afterLines="30" w:line="288" w:lineRule="auto"/>
        <w:jc w:val="both"/>
        <w:rPr>
          <w:rFonts w:eastAsia="宋体"/>
          <w:i/>
          <w:iCs/>
        </w:rPr>
      </w:pPr>
      <w:r>
        <w:rPr>
          <w:rFonts w:hint="eastAsia" w:eastAsia="宋体"/>
          <w:i/>
          <w:iCs/>
        </w:rPr>
        <w:t>FFS: Whether status (1-bit) or quantity (7-bit) of the current beam is reported;</w:t>
      </w:r>
    </w:p>
    <w:p>
      <w:pPr>
        <w:numPr>
          <w:ilvl w:val="0"/>
          <w:numId w:val="18"/>
        </w:numPr>
        <w:snapToGrid w:val="0"/>
        <w:spacing w:before="72" w:beforeLines="30" w:after="72" w:afterLines="30" w:line="288" w:lineRule="auto"/>
        <w:jc w:val="both"/>
        <w:rPr>
          <w:rFonts w:eastAsia="宋体"/>
          <w:i/>
          <w:iCs/>
        </w:rPr>
      </w:pPr>
      <w:r>
        <w:rPr>
          <w:rFonts w:hint="eastAsia" w:eastAsia="宋体"/>
          <w:i/>
          <w:iCs/>
        </w:rPr>
        <w:t xml:space="preserve">The </w:t>
      </w:r>
      <w:r>
        <w:rPr>
          <w:rFonts w:eastAsia="宋体"/>
          <w:i/>
          <w:iCs/>
        </w:rPr>
        <w:t xml:space="preserve">maximum </w:t>
      </w:r>
      <w:r>
        <w:rPr>
          <w:rFonts w:hint="eastAsia" w:eastAsia="宋体"/>
          <w:i/>
          <w:iCs/>
        </w:rPr>
        <w:t>number of reported new beams can be configured</w:t>
      </w:r>
      <w:r>
        <w:rPr>
          <w:rFonts w:eastAsia="宋体"/>
          <w:i/>
          <w:iCs/>
        </w:rPr>
        <w:t>, and then the exact number of reported new beams is indicated in the beam report</w:t>
      </w:r>
      <w:r>
        <w:rPr>
          <w:rFonts w:hint="eastAsia" w:eastAsia="宋体"/>
          <w:i/>
          <w:iCs/>
        </w:rPr>
        <w:t>.</w:t>
      </w:r>
    </w:p>
    <w:p>
      <w:pPr>
        <w:numPr>
          <w:ilvl w:val="1"/>
          <w:numId w:val="18"/>
        </w:numPr>
        <w:snapToGrid w:val="0"/>
        <w:spacing w:before="72" w:beforeLines="30" w:after="72" w:afterLines="30" w:line="288" w:lineRule="auto"/>
        <w:jc w:val="both"/>
        <w:rPr>
          <w:rFonts w:eastAsia="宋体"/>
          <w:i/>
          <w:iCs/>
        </w:rPr>
      </w:pPr>
      <w:r>
        <w:rPr>
          <w:rFonts w:hint="eastAsia" w:eastAsia="宋体"/>
          <w:i/>
          <w:iCs/>
        </w:rPr>
        <w:t>FFS: Whether quality of all or at least one of the reported new beam(s) is better than that of the current beam.</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To leverage legacy CSI framework as much as possible, Table 6.3.1.1.2-6 provided in TS 38.212 can be used as the starting point for details of the UL signaling contents (e.g., the field and bitwidth).</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2"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 xml:space="preserve">with the following </w:t>
      </w:r>
      <w:r>
        <w:rPr>
          <w:rFonts w:hint="eastAsia"/>
          <w:sz w:val="20"/>
        </w:rPr>
        <w:t xml:space="preserve">observations and </w:t>
      </w:r>
      <w:r>
        <w:rPr>
          <w:rFonts w:hint="eastAsia" w:eastAsia="t"/>
          <w:sz w:val="20"/>
          <w:lang w:val="en-GB"/>
        </w:rPr>
        <w:t>proposals.</w:t>
      </w:r>
      <w:bookmarkEnd w:id="2"/>
    </w:p>
    <w:p>
      <w:pPr>
        <w:snapToGrid w:val="0"/>
        <w:spacing w:before="72" w:beforeLines="30" w:after="72" w:afterLines="30" w:line="288" w:lineRule="auto"/>
        <w:ind w:left="-20"/>
        <w:jc w:val="both"/>
        <w:rPr>
          <w:i/>
          <w:iCs/>
        </w:rPr>
      </w:pPr>
      <w:r>
        <w:rPr>
          <w:rFonts w:hint="eastAsia"/>
          <w:b/>
          <w:bCs/>
          <w:i/>
          <w:iCs/>
        </w:rPr>
        <w:t xml:space="preserve">Observation </w:t>
      </w:r>
      <w:r>
        <w:rPr>
          <w:rFonts w:hint="eastAsia" w:eastAsia="宋体"/>
          <w:b/>
          <w:bCs/>
          <w:i/>
          <w:iCs/>
        </w:rPr>
        <w:t>1</w:t>
      </w:r>
      <w:r>
        <w:rPr>
          <w:rFonts w:hint="eastAsia"/>
          <w:b/>
          <w:bCs/>
          <w:i/>
          <w:iCs/>
        </w:rPr>
        <w:t>:</w:t>
      </w:r>
      <w:r>
        <w:rPr>
          <w:rFonts w:hint="eastAsia"/>
          <w:i/>
          <w:iCs/>
        </w:rPr>
        <w:t xml:space="preserve"> </w:t>
      </w:r>
      <w:r>
        <w:rPr>
          <w:i/>
          <w:iCs/>
        </w:rPr>
        <w:t>In terms of report latency, due to saving one additional step and supporting first and second channel allocated in a same uplink slot (e.g., neighboring to each other in time), Option-3 (</w:t>
      </w:r>
      <w:r>
        <w:rPr>
          <w:i/>
          <w:iCs/>
          <w:sz w:val="21"/>
        </w:rPr>
        <w:t xml:space="preserve">UCI in </w:t>
      </w:r>
      <w:r>
        <w:rPr>
          <w:i/>
          <w:iCs/>
        </w:rPr>
        <w:t xml:space="preserve">a </w:t>
      </w:r>
      <w:r>
        <w:rPr>
          <w:i/>
          <w:iCs/>
          <w:sz w:val="21"/>
        </w:rPr>
        <w:t>pre-configured resource</w:t>
      </w:r>
      <w:r>
        <w:rPr>
          <w:i/>
          <w:iCs/>
        </w:rPr>
        <w:t>) significantly outperforms Option-1 (MAC-CE) and Option-2 (</w:t>
      </w:r>
      <w:r>
        <w:rPr>
          <w:rFonts w:hint="eastAsia"/>
          <w:i/>
          <w:iCs/>
        </w:rPr>
        <w:t xml:space="preserve">UCI </w:t>
      </w:r>
      <w:r>
        <w:rPr>
          <w:i/>
          <w:iCs/>
        </w:rPr>
        <w:t>in</w:t>
      </w:r>
      <w:r>
        <w:rPr>
          <w:rFonts w:hint="eastAsia"/>
          <w:i/>
          <w:iCs/>
        </w:rPr>
        <w:t xml:space="preserve"> dynamically scheduled UL resource</w:t>
      </w:r>
      <w:r>
        <w:rPr>
          <w:i/>
          <w:iCs/>
        </w:rPr>
        <w:t>).</w:t>
      </w:r>
    </w:p>
    <w:p>
      <w:pPr>
        <w:snapToGrid w:val="0"/>
        <w:spacing w:before="72" w:beforeLines="30" w:after="72" w:afterLines="30" w:line="288" w:lineRule="auto"/>
        <w:ind w:left="-20"/>
        <w:jc w:val="both"/>
        <w:rPr>
          <w:i/>
          <w:iCs/>
        </w:rPr>
      </w:pPr>
      <w:r>
        <w:rPr>
          <w:rFonts w:hint="eastAsia"/>
          <w:b/>
          <w:bCs/>
          <w:i/>
          <w:iCs/>
        </w:rPr>
        <w:t xml:space="preserve">Observation </w:t>
      </w:r>
      <w:r>
        <w:rPr>
          <w:rFonts w:eastAsia="宋体"/>
          <w:b/>
          <w:bCs/>
          <w:i/>
          <w:iCs/>
        </w:rPr>
        <w:t>2</w:t>
      </w:r>
      <w:r>
        <w:rPr>
          <w:rFonts w:hint="eastAsia"/>
          <w:b/>
          <w:bCs/>
          <w:i/>
          <w:iCs/>
        </w:rPr>
        <w:t>:</w:t>
      </w:r>
      <w:r>
        <w:rPr>
          <w:rFonts w:hint="eastAsia"/>
          <w:i/>
          <w:iCs/>
        </w:rPr>
        <w:t xml:space="preserve"> </w:t>
      </w:r>
      <w:r>
        <w:rPr>
          <w:i/>
          <w:iCs/>
        </w:rPr>
        <w:t>In terms of report overhead, Option-2 (</w:t>
      </w:r>
      <w:r>
        <w:rPr>
          <w:rFonts w:hint="eastAsia"/>
          <w:i/>
          <w:iCs/>
        </w:rPr>
        <w:t xml:space="preserve">UCI </w:t>
      </w:r>
      <w:r>
        <w:rPr>
          <w:i/>
          <w:iCs/>
        </w:rPr>
        <w:t>in</w:t>
      </w:r>
      <w:r>
        <w:rPr>
          <w:rFonts w:hint="eastAsia"/>
          <w:i/>
          <w:iCs/>
        </w:rPr>
        <w:t xml:space="preserve"> dynamically scheduled UL resource</w:t>
      </w:r>
      <w:r>
        <w:rPr>
          <w:i/>
          <w:iCs/>
        </w:rPr>
        <w:t>) and Option-3 with a PUSCH as for second channel (via spatial multiplexing in UL MU-MIMO)</w:t>
      </w:r>
      <w:r>
        <w:rPr>
          <w:rFonts w:eastAsia="宋体"/>
          <w:i/>
        </w:rPr>
        <w:t xml:space="preserve"> outperform Option-1 (MAC-CE), while considering multi-UEs co-existence from the NW perspective.</w:t>
      </w:r>
    </w:p>
    <w:p>
      <w:pPr>
        <w:snapToGrid w:val="0"/>
        <w:spacing w:before="72" w:beforeLines="30" w:after="72" w:afterLines="30" w:line="288" w:lineRule="auto"/>
        <w:jc w:val="both"/>
        <w:rPr>
          <w:rFonts w:eastAsia="宋体"/>
          <w:i/>
          <w:iCs/>
        </w:rPr>
      </w:pP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w:t>
      </w:r>
      <w:r>
        <w:rPr>
          <w:rFonts w:eastAsia="宋体"/>
          <w:i/>
          <w:iCs/>
        </w:rPr>
        <w:t>On UE-initiated/event-driven beam report, at least s</w:t>
      </w:r>
      <w:r>
        <w:rPr>
          <w:rFonts w:hint="eastAsia" w:eastAsia="宋体"/>
          <w:i/>
          <w:iCs/>
        </w:rPr>
        <w:t xml:space="preserve">upport </w:t>
      </w:r>
      <w:r>
        <w:rPr>
          <w:rFonts w:eastAsia="宋体"/>
          <w:i/>
          <w:iCs/>
        </w:rPr>
        <w:t>Option 3 (</w:t>
      </w:r>
      <w:r>
        <w:rPr>
          <w:i/>
          <w:szCs w:val="18"/>
        </w:rPr>
        <w:t>UCI in pre-configured resource(s) for second UL channel</w:t>
      </w:r>
      <w:r>
        <w:rPr>
          <w:rFonts w:eastAsia="宋体"/>
          <w:i/>
          <w:iCs/>
        </w:rPr>
        <w:t>)</w:t>
      </w:r>
      <w:r>
        <w:rPr>
          <w:rFonts w:hint="eastAsia" w:eastAsia="宋体"/>
          <w:i/>
          <w:iCs/>
        </w:rPr>
        <w:t>.</w:t>
      </w:r>
    </w:p>
    <w:p>
      <w:pPr>
        <w:pStyle w:val="111"/>
        <w:widowControl w:val="0"/>
        <w:numPr>
          <w:ilvl w:val="0"/>
          <w:numId w:val="16"/>
        </w:numPr>
        <w:snapToGrid w:val="0"/>
        <w:spacing w:before="72" w:beforeLines="30" w:after="72" w:afterLines="30" w:line="288" w:lineRule="auto"/>
        <w:ind w:firstLineChars="0"/>
        <w:jc w:val="both"/>
        <w:rPr>
          <w:rFonts w:eastAsia="宋体"/>
          <w:i/>
        </w:rPr>
      </w:pPr>
      <w:r>
        <w:rPr>
          <w:rFonts w:hint="eastAsia" w:eastAsia="宋体"/>
          <w:i/>
        </w:rPr>
        <w:t>1</w:t>
      </w:r>
      <w:r>
        <w:rPr>
          <w:rFonts w:eastAsia="宋体"/>
          <w:i/>
        </w:rPr>
        <w:t>-</w:t>
      </w:r>
      <w:r>
        <w:rPr>
          <w:rFonts w:hint="eastAsia" w:eastAsia="宋体"/>
          <w:i/>
        </w:rPr>
        <w:t xml:space="preserve">bit </w:t>
      </w:r>
      <w:r>
        <w:rPr>
          <w:i/>
          <w:szCs w:val="18"/>
        </w:rPr>
        <w:t xml:space="preserve">notification in Step1 is supported to </w:t>
      </w:r>
      <w:r>
        <w:rPr>
          <w:rFonts w:eastAsia="宋体"/>
          <w:i/>
          <w:iCs/>
        </w:rPr>
        <w:t xml:space="preserve">notify gNB of the transmission of a second channel </w:t>
      </w:r>
    </w:p>
    <w:p>
      <w:pPr>
        <w:pStyle w:val="111"/>
        <w:widowControl w:val="0"/>
        <w:numPr>
          <w:ilvl w:val="1"/>
          <w:numId w:val="16"/>
        </w:numPr>
        <w:spacing w:before="72" w:beforeLines="30" w:after="72" w:afterLines="30" w:line="288" w:lineRule="auto"/>
        <w:ind w:firstLineChars="0"/>
        <w:jc w:val="both"/>
        <w:rPr>
          <w:rFonts w:eastAsia="宋体"/>
          <w:i/>
        </w:rPr>
      </w:pPr>
      <w:r>
        <w:rPr>
          <w:rFonts w:hint="eastAsia" w:eastAsia="宋体"/>
          <w:i/>
        </w:rPr>
        <w:t xml:space="preserve">FFS: Whether </w:t>
      </w:r>
      <w:r>
        <w:rPr>
          <w:rFonts w:eastAsia="宋体"/>
          <w:i/>
        </w:rPr>
        <w:t xml:space="preserve">the </w:t>
      </w:r>
      <w:r>
        <w:rPr>
          <w:rFonts w:hint="eastAsia" w:eastAsia="宋体"/>
          <w:i/>
        </w:rPr>
        <w:t>1</w:t>
      </w:r>
      <w:r>
        <w:rPr>
          <w:rFonts w:eastAsia="宋体"/>
          <w:i/>
        </w:rPr>
        <w:t>-</w:t>
      </w:r>
      <w:r>
        <w:rPr>
          <w:rFonts w:hint="eastAsia" w:eastAsia="宋体"/>
          <w:i/>
        </w:rPr>
        <w:t xml:space="preserve">bit </w:t>
      </w:r>
      <w:r>
        <w:rPr>
          <w:i/>
          <w:szCs w:val="18"/>
        </w:rPr>
        <w:t xml:space="preserve">notification </w:t>
      </w:r>
      <w:r>
        <w:rPr>
          <w:rFonts w:hint="eastAsia" w:eastAsia="宋体"/>
          <w:i/>
        </w:rPr>
        <w:t>is an SR or a new type of UCI</w:t>
      </w:r>
      <w:r>
        <w:rPr>
          <w:rFonts w:hint="eastAsia" w:eastAsia="宋体"/>
          <w:i/>
          <w:lang w:val="en-US" w:eastAsia="zh-CN"/>
        </w:rPr>
        <w:t xml:space="preserve"> in a first PUCCH</w:t>
      </w:r>
      <w:r>
        <w:rPr>
          <w:rFonts w:hint="eastAsia" w:eastAsia="宋体"/>
          <w:i/>
        </w:rPr>
        <w:t>.</w:t>
      </w:r>
    </w:p>
    <w:p>
      <w:pPr>
        <w:pStyle w:val="111"/>
        <w:widowControl w:val="0"/>
        <w:numPr>
          <w:ilvl w:val="0"/>
          <w:numId w:val="16"/>
        </w:numPr>
        <w:snapToGrid w:val="0"/>
        <w:spacing w:before="72" w:beforeLines="30" w:after="72" w:afterLines="30" w:line="288" w:lineRule="auto"/>
        <w:ind w:firstLineChars="0"/>
        <w:jc w:val="both"/>
        <w:rPr>
          <w:rFonts w:eastAsia="宋体"/>
          <w:i/>
          <w:iCs/>
        </w:rPr>
      </w:pPr>
      <w:r>
        <w:rPr>
          <w:rFonts w:eastAsia="宋体"/>
          <w:i/>
        </w:rPr>
        <w:t xml:space="preserve">In order to reduce report overhead via UL MU-MIMO considering low probability of the </w:t>
      </w:r>
      <w:r>
        <w:rPr>
          <w:rFonts w:eastAsia="宋体"/>
          <w:i/>
          <w:iCs/>
        </w:rPr>
        <w:t>UE-initiated/event-driven beam report transmission,</w:t>
      </w:r>
      <w:r>
        <w:rPr>
          <w:rFonts w:eastAsia="宋体"/>
          <w:i/>
        </w:rPr>
        <w:t xml:space="preserve"> </w:t>
      </w:r>
      <w:r>
        <w:rPr>
          <w:rFonts w:hint="eastAsia" w:eastAsia="宋体"/>
          <w:i/>
        </w:rPr>
        <w:t>PUSCH resource</w:t>
      </w:r>
      <w:r>
        <w:rPr>
          <w:rFonts w:eastAsia="宋体"/>
          <w:i/>
        </w:rPr>
        <w:t>(</w:t>
      </w:r>
      <w:r>
        <w:rPr>
          <w:rFonts w:hint="eastAsia" w:eastAsia="宋体"/>
          <w:i/>
        </w:rPr>
        <w:t>s</w:t>
      </w:r>
      <w:r>
        <w:rPr>
          <w:rFonts w:eastAsia="宋体"/>
          <w:i/>
        </w:rPr>
        <w:t>)</w:t>
      </w:r>
      <w:r>
        <w:rPr>
          <w:rFonts w:hint="eastAsia" w:eastAsia="宋体"/>
          <w:i/>
        </w:rPr>
        <w:t xml:space="preserve"> without UL-SCH </w:t>
      </w:r>
      <w:r>
        <w:rPr>
          <w:rFonts w:eastAsia="宋体"/>
          <w:i/>
        </w:rPr>
        <w:t>can be</w:t>
      </w:r>
      <w:r>
        <w:rPr>
          <w:rFonts w:hint="eastAsia" w:eastAsia="宋体"/>
          <w:i/>
        </w:rPr>
        <w:t xml:space="preserve"> configured for beam report transmission</w:t>
      </w:r>
      <w:r>
        <w:rPr>
          <w:rFonts w:eastAsia="宋体"/>
          <w:i/>
        </w:rPr>
        <w:t xml:space="preserve"> (i.e., for second channel)</w:t>
      </w:r>
      <w:r>
        <w:rPr>
          <w:rFonts w:hint="eastAsia" w:eastAsia="宋体"/>
          <w:i/>
        </w:rPr>
        <w:t>.</w:t>
      </w:r>
      <w:r>
        <w:rPr>
          <w:rFonts w:eastAsia="宋体"/>
          <w:i/>
          <w:iCs/>
        </w:rPr>
        <w:t xml:space="preserve"> </w:t>
      </w:r>
    </w:p>
    <w:p>
      <w:pPr>
        <w:snapToGrid w:val="0"/>
        <w:spacing w:before="72" w:beforeLines="30" w:after="72" w:afterLines="30" w:line="288" w:lineRule="auto"/>
        <w:jc w:val="both"/>
        <w:rPr>
          <w:rFonts w:eastAsia="宋体"/>
          <w:i/>
          <w:szCs w:val="20"/>
        </w:rPr>
      </w:pPr>
      <w:r>
        <w:rPr>
          <w:rFonts w:hint="eastAsia" w:eastAsia="宋体"/>
          <w:b/>
          <w:i/>
          <w:szCs w:val="21"/>
        </w:rPr>
        <w:t>Proposal</w:t>
      </w:r>
      <w:r>
        <w:rPr>
          <w:b/>
          <w:i/>
          <w:szCs w:val="21"/>
        </w:rPr>
        <w:t xml:space="preserve"> 2:</w:t>
      </w:r>
      <w:r>
        <w:rPr>
          <w:bCs/>
          <w:i/>
          <w:szCs w:val="21"/>
        </w:rPr>
        <w:t xml:space="preserve"> </w:t>
      </w:r>
      <w:r>
        <w:rPr>
          <w:rFonts w:hint="eastAsia" w:eastAsia="宋体"/>
          <w:i/>
          <w:szCs w:val="20"/>
        </w:rPr>
        <w:t xml:space="preserve">For trigger-event detection for UE-initiated/event driven beam report, support to at least specify </w:t>
      </w:r>
      <w:r>
        <w:rPr>
          <w:rFonts w:eastAsia="宋体"/>
          <w:i/>
          <w:szCs w:val="20"/>
        </w:rPr>
        <w:t>“</w:t>
      </w:r>
      <w:r>
        <w:rPr>
          <w:rFonts w:hint="eastAsia" w:eastAsia="宋体"/>
          <w:i/>
          <w:szCs w:val="20"/>
        </w:rPr>
        <w:t>Event-2: Quality of at least one new beam, such as L1-RSRP, becomes a threshold value better than the current beam.</w:t>
      </w:r>
      <w:r>
        <w:rPr>
          <w:rFonts w:eastAsia="宋体"/>
          <w:i/>
          <w:szCs w:val="20"/>
        </w:rPr>
        <w:t>”</w:t>
      </w:r>
    </w:p>
    <w:p>
      <w:pPr>
        <w:numPr>
          <w:ilvl w:val="0"/>
          <w:numId w:val="18"/>
        </w:numPr>
        <w:snapToGrid w:val="0"/>
        <w:spacing w:before="72" w:beforeLines="30" w:after="6" w:line="288" w:lineRule="auto"/>
        <w:rPr>
          <w:rFonts w:eastAsia="宋体"/>
          <w:szCs w:val="20"/>
        </w:rPr>
      </w:pPr>
      <w:r>
        <w:rPr>
          <w:rFonts w:hint="eastAsia" w:eastAsia="宋体"/>
          <w:i/>
          <w:szCs w:val="20"/>
        </w:rPr>
        <w:t xml:space="preserve">FFS: </w:t>
      </w:r>
      <w:r>
        <w:rPr>
          <w:rFonts w:hint="eastAsia" w:eastAsia="宋体"/>
          <w:i/>
          <w:iCs/>
        </w:rPr>
        <w:t xml:space="preserve">Whether </w:t>
      </w:r>
      <w:r>
        <w:rPr>
          <w:rFonts w:hint="eastAsia" w:eastAsia="宋体"/>
          <w:i/>
          <w:szCs w:val="20"/>
        </w:rPr>
        <w:t>to support other trigger events.</w:t>
      </w:r>
      <w:r>
        <w:rPr>
          <w:rFonts w:hint="eastAsia" w:eastAsia="宋体"/>
          <w:szCs w:val="20"/>
        </w:rPr>
        <w:t xml:space="preserve"> </w:t>
      </w:r>
    </w:p>
    <w:p>
      <w:pPr>
        <w:pStyle w:val="111"/>
        <w:widowControl w:val="0"/>
        <w:spacing w:before="72" w:beforeLines="30" w:after="72" w:afterLines="30" w:line="288" w:lineRule="auto"/>
        <w:ind w:firstLine="0" w:firstLineChars="0"/>
        <w:jc w:val="both"/>
        <w:rPr>
          <w:i/>
        </w:rPr>
      </w:pPr>
      <w:r>
        <w:rPr>
          <w:rFonts w:hint="eastAsia" w:eastAsia="宋体"/>
          <w:b/>
          <w:i/>
          <w:szCs w:val="21"/>
        </w:rPr>
        <w:t>Proposal</w:t>
      </w:r>
      <w:r>
        <w:rPr>
          <w:b/>
          <w:i/>
          <w:szCs w:val="21"/>
        </w:rPr>
        <w:t xml:space="preserve"> </w:t>
      </w:r>
      <w:r>
        <w:rPr>
          <w:rFonts w:eastAsia="宋体"/>
          <w:b/>
          <w:i/>
          <w:szCs w:val="21"/>
        </w:rPr>
        <w:t>3</w:t>
      </w:r>
      <w:r>
        <w:rPr>
          <w:b/>
          <w:i/>
          <w:szCs w:val="21"/>
        </w:rPr>
        <w:t>:</w:t>
      </w:r>
      <w:r>
        <w:rPr>
          <w:bCs/>
          <w:i/>
          <w:szCs w:val="21"/>
        </w:rPr>
        <w:t xml:space="preserve"> </w:t>
      </w:r>
      <w:r>
        <w:rPr>
          <w:rFonts w:hint="eastAsia" w:eastAsia="宋体"/>
          <w:i/>
          <w:szCs w:val="20"/>
        </w:rPr>
        <w:t>Regarding Event-2 for UE-initiated beam report, support that the curre</w:t>
      </w:r>
      <w:r>
        <w:rPr>
          <w:rFonts w:hint="eastAsia"/>
          <w:i/>
        </w:rPr>
        <w:t>nt beam is implicitly derived from the indicated TCI state and the new beams are explicitly configured by the reference signal resource set in the beam report configuration.</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The configured reference signal resources are expected to associate with the configured TCI states.</w:t>
      </w:r>
    </w:p>
    <w:p>
      <w:pPr>
        <w:pStyle w:val="111"/>
        <w:widowControl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eastAsia="宋体"/>
          <w:b/>
          <w:i/>
          <w:szCs w:val="21"/>
        </w:rPr>
        <w:t>4</w:t>
      </w:r>
      <w:r>
        <w:rPr>
          <w:b/>
          <w:i/>
          <w:szCs w:val="21"/>
        </w:rPr>
        <w:t>:</w:t>
      </w:r>
      <w:r>
        <w:rPr>
          <w:bCs/>
          <w:i/>
          <w:szCs w:val="21"/>
        </w:rPr>
        <w:t xml:space="preserve"> </w:t>
      </w:r>
      <w:r>
        <w:rPr>
          <w:rFonts w:hint="eastAsia" w:eastAsia="宋体"/>
          <w:i/>
          <w:szCs w:val="20"/>
        </w:rPr>
        <w:t xml:space="preserve">For UE-initiated/event-driven beam reporting procedure, support to specify that UE-initiated beam report triggering is based on a counter </w:t>
      </w:r>
      <w:r>
        <w:rPr>
          <w:rFonts w:hint="eastAsia" w:eastAsia="宋体"/>
          <w:i/>
          <w:szCs w:val="20"/>
          <w:lang w:val="en-US" w:eastAsia="zh-CN"/>
        </w:rPr>
        <w:t xml:space="preserve">with a timer </w:t>
      </w:r>
      <w:r>
        <w:rPr>
          <w:rFonts w:hint="eastAsia" w:eastAsia="宋体"/>
          <w:i/>
          <w:szCs w:val="20"/>
        </w:rPr>
        <w:t>as legacy BFR.</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Up to UE implementation to use L1-filtered RSRP value or non-filtered RSRP value for trigger event evaluation.</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 xml:space="preserve">Proposal </w:t>
      </w:r>
      <w:r>
        <w:rPr>
          <w:rFonts w:eastAsia="宋体"/>
          <w:b/>
          <w:bCs/>
          <w:i/>
          <w:iCs/>
          <w:szCs w:val="20"/>
        </w:rPr>
        <w:t>5</w:t>
      </w:r>
      <w:r>
        <w:rPr>
          <w:rFonts w:hint="eastAsia" w:eastAsia="宋体"/>
          <w:b/>
          <w:bCs/>
          <w:i/>
          <w:iCs/>
          <w:szCs w:val="20"/>
        </w:rPr>
        <w:t>:</w:t>
      </w:r>
      <w:r>
        <w:rPr>
          <w:rFonts w:hint="eastAsia" w:eastAsia="宋体"/>
          <w:i/>
          <w:iCs/>
          <w:szCs w:val="20"/>
        </w:rPr>
        <w:t xml:space="preserve"> Support to configure </w:t>
      </w:r>
      <w:r>
        <w:rPr>
          <w:rFonts w:eastAsia="宋体"/>
          <w:i/>
          <w:iCs/>
          <w:szCs w:val="20"/>
        </w:rPr>
        <w:t>a</w:t>
      </w:r>
      <w:r>
        <w:rPr>
          <w:rFonts w:hint="eastAsia" w:eastAsia="宋体"/>
          <w:i/>
          <w:iCs/>
          <w:szCs w:val="20"/>
        </w:rPr>
        <w:t xml:space="preserve"> threshold value of trigger event </w:t>
      </w:r>
      <w:r>
        <w:rPr>
          <w:rFonts w:eastAsia="宋体"/>
          <w:i/>
          <w:iCs/>
          <w:szCs w:val="20"/>
        </w:rPr>
        <w:t xml:space="preserve">specific </w:t>
      </w:r>
      <w:r>
        <w:rPr>
          <w:rFonts w:hint="eastAsia" w:eastAsia="宋体"/>
          <w:i/>
          <w:iCs/>
          <w:szCs w:val="20"/>
        </w:rPr>
        <w:t>to UE-initiated beam report configuration.</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the candidate threshold values are up to RAN2.</w:t>
      </w:r>
    </w:p>
    <w:p>
      <w:pPr>
        <w:snapToGrid w:val="0"/>
        <w:spacing w:before="72" w:beforeLines="30" w:after="72" w:afterLines="30" w:line="288" w:lineRule="auto"/>
        <w:jc w:val="both"/>
        <w:rPr>
          <w:rFonts w:eastAsia="宋体"/>
          <w:i/>
          <w:iCs/>
        </w:rPr>
      </w:pPr>
      <w:r>
        <w:rPr>
          <w:rFonts w:hint="eastAsia" w:eastAsia="宋体"/>
          <w:b/>
          <w:bCs/>
          <w:i/>
          <w:iCs/>
        </w:rPr>
        <w:t xml:space="preserve">Proposal </w:t>
      </w:r>
      <w:r>
        <w:rPr>
          <w:rFonts w:eastAsia="宋体"/>
          <w:b/>
          <w:bCs/>
          <w:i/>
          <w:iCs/>
        </w:rPr>
        <w:t>6</w:t>
      </w:r>
      <w:r>
        <w:rPr>
          <w:rFonts w:hint="eastAsia" w:eastAsia="宋体"/>
          <w:b/>
          <w:bCs/>
          <w:i/>
          <w:iCs/>
        </w:rPr>
        <w:t>:</w:t>
      </w:r>
      <w:r>
        <w:rPr>
          <w:rFonts w:hint="eastAsia" w:eastAsia="宋体"/>
          <w:i/>
          <w:iCs/>
        </w:rPr>
        <w:t xml:space="preserve"> Upon the supported trigger-event (i.e., Event-2), support that UL signaling content(s) of UEIBR should at least include the following:</w:t>
      </w:r>
    </w:p>
    <w:p>
      <w:pPr>
        <w:numPr>
          <w:ilvl w:val="0"/>
          <w:numId w:val="18"/>
        </w:numPr>
        <w:snapToGrid w:val="0"/>
        <w:spacing w:before="72" w:beforeLines="30" w:after="72" w:afterLines="30" w:line="288" w:lineRule="auto"/>
        <w:jc w:val="both"/>
        <w:rPr>
          <w:rFonts w:eastAsia="宋体"/>
          <w:i/>
          <w:iCs/>
        </w:rPr>
      </w:pPr>
      <w:r>
        <w:rPr>
          <w:rFonts w:hint="eastAsia" w:eastAsia="宋体"/>
          <w:i/>
          <w:iCs/>
        </w:rPr>
        <w:t>DL RS ID (e.g., CRI or SSBRI) of the new beam(s)</w:t>
      </w:r>
    </w:p>
    <w:p>
      <w:pPr>
        <w:numPr>
          <w:ilvl w:val="0"/>
          <w:numId w:val="18"/>
        </w:numPr>
        <w:snapToGrid w:val="0"/>
        <w:spacing w:before="72" w:beforeLines="30" w:after="72" w:afterLines="30" w:line="288" w:lineRule="auto"/>
        <w:jc w:val="both"/>
        <w:rPr>
          <w:rFonts w:eastAsia="宋体"/>
          <w:i/>
          <w:iCs/>
        </w:rPr>
      </w:pPr>
      <w:r>
        <w:rPr>
          <w:rFonts w:hint="eastAsia" w:eastAsia="宋体"/>
          <w:i/>
          <w:iCs/>
        </w:rPr>
        <w:t>Differential L1-RSRP value of the new beam(s)</w:t>
      </w:r>
    </w:p>
    <w:p>
      <w:pPr>
        <w:numPr>
          <w:ilvl w:val="1"/>
          <w:numId w:val="18"/>
        </w:numPr>
        <w:snapToGrid w:val="0"/>
        <w:spacing w:before="72" w:beforeLines="30" w:after="72" w:afterLines="30" w:line="288" w:lineRule="auto"/>
        <w:jc w:val="both"/>
        <w:rPr>
          <w:rFonts w:eastAsia="宋体"/>
          <w:i/>
          <w:iCs/>
        </w:rPr>
      </w:pPr>
      <w:r>
        <w:rPr>
          <w:rFonts w:hint="eastAsia" w:eastAsia="宋体"/>
          <w:i/>
          <w:iCs/>
        </w:rPr>
        <w:t>Differential L1-RSRP value is calculated by L1-RSRP of the new beam minus that of the current beam;</w:t>
      </w:r>
    </w:p>
    <w:p>
      <w:pPr>
        <w:numPr>
          <w:ilvl w:val="0"/>
          <w:numId w:val="18"/>
        </w:numPr>
        <w:snapToGrid w:val="0"/>
        <w:spacing w:before="72" w:beforeLines="30" w:after="72" w:afterLines="30" w:line="288" w:lineRule="auto"/>
        <w:jc w:val="both"/>
        <w:rPr>
          <w:rFonts w:eastAsia="宋体"/>
          <w:i/>
          <w:iCs/>
        </w:rPr>
      </w:pPr>
      <w:r>
        <w:rPr>
          <w:rFonts w:hint="eastAsia" w:eastAsia="宋体"/>
          <w:i/>
          <w:iCs/>
        </w:rPr>
        <w:t>FFS: Whether status (1-bit) or quantity (7-bit) of the current beam is reported;</w:t>
      </w:r>
    </w:p>
    <w:p>
      <w:pPr>
        <w:numPr>
          <w:ilvl w:val="0"/>
          <w:numId w:val="18"/>
        </w:numPr>
        <w:snapToGrid w:val="0"/>
        <w:spacing w:before="72" w:beforeLines="30" w:after="72" w:afterLines="30" w:line="288" w:lineRule="auto"/>
        <w:jc w:val="both"/>
        <w:rPr>
          <w:rFonts w:eastAsia="宋体"/>
          <w:i/>
          <w:iCs/>
        </w:rPr>
      </w:pPr>
      <w:r>
        <w:rPr>
          <w:rFonts w:hint="eastAsia" w:eastAsia="宋体"/>
          <w:i/>
          <w:iCs/>
        </w:rPr>
        <w:t xml:space="preserve">The </w:t>
      </w:r>
      <w:r>
        <w:rPr>
          <w:rFonts w:eastAsia="宋体"/>
          <w:i/>
          <w:iCs/>
        </w:rPr>
        <w:t xml:space="preserve">maximum </w:t>
      </w:r>
      <w:r>
        <w:rPr>
          <w:rFonts w:hint="eastAsia" w:eastAsia="宋体"/>
          <w:i/>
          <w:iCs/>
        </w:rPr>
        <w:t>number of reported new beams can be configured</w:t>
      </w:r>
      <w:r>
        <w:rPr>
          <w:rFonts w:eastAsia="宋体"/>
          <w:i/>
          <w:iCs/>
        </w:rPr>
        <w:t>, and then the exact number of reported new beams is indicated in the beam report</w:t>
      </w:r>
      <w:r>
        <w:rPr>
          <w:rFonts w:hint="eastAsia" w:eastAsia="宋体"/>
          <w:i/>
          <w:iCs/>
        </w:rPr>
        <w:t>.</w:t>
      </w:r>
    </w:p>
    <w:p>
      <w:pPr>
        <w:numPr>
          <w:ilvl w:val="1"/>
          <w:numId w:val="18"/>
        </w:numPr>
        <w:snapToGrid w:val="0"/>
        <w:spacing w:before="72" w:beforeLines="30" w:after="72" w:afterLines="30" w:line="288" w:lineRule="auto"/>
        <w:jc w:val="both"/>
        <w:rPr>
          <w:rFonts w:eastAsia="宋体"/>
          <w:i/>
          <w:iCs/>
        </w:rPr>
      </w:pPr>
      <w:r>
        <w:rPr>
          <w:rFonts w:hint="eastAsia" w:eastAsia="宋体"/>
          <w:i/>
          <w:iCs/>
        </w:rPr>
        <w:t>FFS: Whether quality of all or at least one of the reported new beam(s) is better than that of the current beam.</w:t>
      </w:r>
    </w:p>
    <w:p>
      <w:pPr>
        <w:numPr>
          <w:ilvl w:val="0"/>
          <w:numId w:val="18"/>
        </w:numPr>
        <w:snapToGrid w:val="0"/>
        <w:spacing w:before="72" w:beforeLines="30" w:after="72" w:afterLines="30" w:line="288" w:lineRule="auto"/>
        <w:jc w:val="both"/>
        <w:rPr>
          <w:rFonts w:eastAsia="宋体"/>
          <w:i/>
          <w:iCs/>
        </w:rPr>
      </w:pPr>
      <w:r>
        <w:rPr>
          <w:rFonts w:hint="eastAsia" w:eastAsia="宋体"/>
          <w:i/>
          <w:iCs/>
        </w:rPr>
        <w:t>Note: To leverage legacy CSI framework as much as possible, Table 6.3.1.1.2-6 provided in TS 38.212 can be used as the starting point for details of the UL signaling contents (e.g., the field and bitwidth).</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0"/>
        </w:numPr>
        <w:snapToGrid w:val="0"/>
        <w:spacing w:before="72" w:beforeLines="30" w:after="72" w:afterLines="30" w:line="288" w:lineRule="auto"/>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NR MIMO Phase 5</w:t>
      </w:r>
      <w:r>
        <w:rPr>
          <w:bCs/>
          <w:sz w:val="20"/>
          <w:szCs w:val="20"/>
        </w:rPr>
        <w:t>, Moderator</w:t>
      </w:r>
      <w:r>
        <w:rPr>
          <w:rFonts w:hint="eastAsia"/>
          <w:bCs/>
          <w:sz w:val="20"/>
          <w:szCs w:val="20"/>
        </w:rPr>
        <w:t xml:space="preserve"> (</w:t>
      </w:r>
      <w:r>
        <w:rPr>
          <w:bCs/>
          <w:sz w:val="20"/>
          <w:szCs w:val="20"/>
        </w:rPr>
        <w:t>Samsung</w:t>
      </w:r>
      <w:r>
        <w:rPr>
          <w:rFonts w:hint="eastAsia"/>
          <w:bCs/>
          <w:sz w:val="20"/>
          <w:szCs w:val="20"/>
        </w:rPr>
        <w:t>)</w:t>
      </w:r>
    </w:p>
    <w:p>
      <w:pPr>
        <w:pStyle w:val="73"/>
        <w:numPr>
          <w:ilvl w:val="0"/>
          <w:numId w:val="20"/>
        </w:numPr>
        <w:snapToGrid w:val="0"/>
        <w:spacing w:before="72" w:beforeLines="30" w:after="72" w:afterLines="30" w:line="288" w:lineRule="auto"/>
        <w:jc w:val="both"/>
        <w:rPr>
          <w:bCs/>
          <w:sz w:val="20"/>
          <w:szCs w:val="20"/>
        </w:rPr>
      </w:pPr>
      <w:r>
        <w:rPr>
          <w:rFonts w:hint="eastAsia"/>
          <w:bCs/>
          <w:sz w:val="20"/>
          <w:szCs w:val="20"/>
        </w:rPr>
        <w:t>Chair Notes RAN1#116 eom0, Feb 26nd - Mar 1st, 2024, 3GPP RAN1</w:t>
      </w:r>
    </w:p>
    <w:p>
      <w:pPr>
        <w:pStyle w:val="73"/>
        <w:numPr>
          <w:ilvl w:val="0"/>
          <w:numId w:val="20"/>
        </w:numPr>
        <w:snapToGrid w:val="0"/>
        <w:spacing w:before="72" w:beforeLines="30" w:after="72" w:afterLines="30" w:line="288" w:lineRule="auto"/>
        <w:jc w:val="both"/>
        <w:rPr>
          <w:bCs/>
          <w:sz w:val="20"/>
          <w:szCs w:val="20"/>
        </w:rPr>
      </w:pPr>
      <w:r>
        <w:rPr>
          <w:rFonts w:hint="eastAsia"/>
          <w:bCs/>
          <w:sz w:val="20"/>
          <w:szCs w:val="20"/>
        </w:rPr>
        <w:t xml:space="preserve">R1-2007151, R17 FeMIMO summary Item 1 EVM, </w:t>
      </w:r>
      <w:r>
        <w:rPr>
          <w:bCs/>
          <w:sz w:val="20"/>
          <w:szCs w:val="20"/>
        </w:rPr>
        <w:t>Moderator</w:t>
      </w:r>
      <w:r>
        <w:rPr>
          <w:rFonts w:hint="eastAsia"/>
          <w:bCs/>
          <w:sz w:val="20"/>
          <w:szCs w:val="20"/>
        </w:rPr>
        <w:t xml:space="preserve"> (</w:t>
      </w:r>
      <w:r>
        <w:rPr>
          <w:bCs/>
          <w:sz w:val="20"/>
          <w:szCs w:val="20"/>
        </w:rPr>
        <w:t>Samsung</w:t>
      </w:r>
      <w:r>
        <w:rPr>
          <w:rFonts w:hint="eastAsia"/>
          <w:bCs/>
          <w:sz w:val="20"/>
          <w:szCs w:val="20"/>
        </w:rPr>
        <w:t>)</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FFF715B"/>
    <w:multiLevelType w:val="multilevel"/>
    <w:tmpl w:val="8FFF715B"/>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微软雅黑" w:hAnsi="微软雅黑" w:eastAsia="微软雅黑" w:cs="微软雅黑"/>
        <w:b/>
        <w:sz w:val="20"/>
        <w:u w:val="none"/>
      </w:rPr>
    </w:lvl>
    <w:lvl w:ilvl="2" w:tentative="0">
      <w:start w:val="0"/>
      <w:numFmt w:val="bullet"/>
      <w:lvlText w:val="▪"/>
      <w:lvlJc w:val="left"/>
      <w:pPr>
        <w:ind w:left="1620" w:hanging="420"/>
      </w:pPr>
      <w:rPr>
        <w:rFonts w:hint="default" w:ascii="微软雅黑" w:hAnsi="微软雅黑" w:eastAsia="微软雅黑" w:cs="微软雅黑"/>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
    <w:nsid w:val="F722BC6B"/>
    <w:multiLevelType w:val="multilevel"/>
    <w:tmpl w:val="F722BC6B"/>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6EE5739"/>
    <w:multiLevelType w:val="multilevel"/>
    <w:tmpl w:val="16EE5739"/>
    <w:lvl w:ilvl="0" w:tentative="0">
      <w:start w:val="1"/>
      <w:numFmt w:val="bullet"/>
      <w:lvlText w:val="•"/>
      <w:lvlJc w:val="left"/>
      <w:pPr>
        <w:tabs>
          <w:tab w:val="left" w:pos="300"/>
        </w:tabs>
        <w:ind w:left="300" w:hanging="360"/>
      </w:pPr>
      <w:rPr>
        <w:rFonts w:hint="default" w:ascii="Arial" w:hAnsi="Arial"/>
      </w:rPr>
    </w:lvl>
    <w:lvl w:ilvl="1" w:tentative="0">
      <w:start w:val="2703"/>
      <w:numFmt w:val="bullet"/>
      <w:lvlText w:val="–"/>
      <w:lvlJc w:val="left"/>
      <w:pPr>
        <w:tabs>
          <w:tab w:val="left" w:pos="1020"/>
        </w:tabs>
        <w:ind w:left="1020" w:hanging="360"/>
      </w:pPr>
      <w:rPr>
        <w:rFonts w:hint="default" w:ascii="Arial" w:hAnsi="Arial"/>
      </w:rPr>
    </w:lvl>
    <w:lvl w:ilvl="2" w:tentative="0">
      <w:start w:val="2703"/>
      <w:numFmt w:val="bullet"/>
      <w:lvlText w:val="•"/>
      <w:lvlJc w:val="left"/>
      <w:pPr>
        <w:tabs>
          <w:tab w:val="left" w:pos="1740"/>
        </w:tabs>
        <w:ind w:left="1740" w:hanging="360"/>
      </w:pPr>
      <w:rPr>
        <w:rFonts w:hint="default" w:ascii="Arial" w:hAnsi="Arial"/>
      </w:rPr>
    </w:lvl>
    <w:lvl w:ilvl="3" w:tentative="0">
      <w:start w:val="1"/>
      <w:numFmt w:val="bullet"/>
      <w:lvlText w:val="•"/>
      <w:lvlJc w:val="left"/>
      <w:pPr>
        <w:tabs>
          <w:tab w:val="left" w:pos="2460"/>
        </w:tabs>
        <w:ind w:left="2460" w:hanging="360"/>
      </w:pPr>
      <w:rPr>
        <w:rFonts w:hint="default" w:ascii="Arial" w:hAnsi="Arial"/>
      </w:rPr>
    </w:lvl>
    <w:lvl w:ilvl="4" w:tentative="0">
      <w:start w:val="1"/>
      <w:numFmt w:val="bullet"/>
      <w:lvlText w:val="•"/>
      <w:lvlJc w:val="left"/>
      <w:pPr>
        <w:tabs>
          <w:tab w:val="left" w:pos="3180"/>
        </w:tabs>
        <w:ind w:left="3180" w:hanging="360"/>
      </w:pPr>
      <w:rPr>
        <w:rFonts w:hint="default" w:ascii="Arial" w:hAnsi="Arial"/>
      </w:rPr>
    </w:lvl>
    <w:lvl w:ilvl="5" w:tentative="0">
      <w:start w:val="1"/>
      <w:numFmt w:val="bullet"/>
      <w:lvlText w:val="•"/>
      <w:lvlJc w:val="left"/>
      <w:pPr>
        <w:tabs>
          <w:tab w:val="left" w:pos="3900"/>
        </w:tabs>
        <w:ind w:left="3900" w:hanging="360"/>
      </w:pPr>
      <w:rPr>
        <w:rFonts w:hint="default" w:ascii="Arial" w:hAnsi="Arial"/>
      </w:rPr>
    </w:lvl>
    <w:lvl w:ilvl="6" w:tentative="0">
      <w:start w:val="1"/>
      <w:numFmt w:val="bullet"/>
      <w:lvlText w:val="•"/>
      <w:lvlJc w:val="left"/>
      <w:pPr>
        <w:tabs>
          <w:tab w:val="left" w:pos="4620"/>
        </w:tabs>
        <w:ind w:left="4620" w:hanging="360"/>
      </w:pPr>
      <w:rPr>
        <w:rFonts w:hint="default" w:ascii="Arial" w:hAnsi="Arial"/>
      </w:rPr>
    </w:lvl>
    <w:lvl w:ilvl="7" w:tentative="0">
      <w:start w:val="1"/>
      <w:numFmt w:val="bullet"/>
      <w:lvlText w:val="•"/>
      <w:lvlJc w:val="left"/>
      <w:pPr>
        <w:tabs>
          <w:tab w:val="left" w:pos="5340"/>
        </w:tabs>
        <w:ind w:left="5340" w:hanging="360"/>
      </w:pPr>
      <w:rPr>
        <w:rFonts w:hint="default" w:ascii="Arial" w:hAnsi="Arial"/>
      </w:rPr>
    </w:lvl>
    <w:lvl w:ilvl="8" w:tentative="0">
      <w:start w:val="1"/>
      <w:numFmt w:val="bullet"/>
      <w:lvlText w:val="•"/>
      <w:lvlJc w:val="left"/>
      <w:pPr>
        <w:tabs>
          <w:tab w:val="left" w:pos="6060"/>
        </w:tabs>
        <w:ind w:left="6060" w:hanging="360"/>
      </w:pPr>
      <w:rPr>
        <w:rFonts w:hint="default" w:ascii="Arial" w:hAnsi="Arial"/>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36E51F0D"/>
    <w:multiLevelType w:val="multilevel"/>
    <w:tmpl w:val="36E51F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9">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0">
    <w:nsid w:val="4C1F4055"/>
    <w:multiLevelType w:val="singleLevel"/>
    <w:tmpl w:val="4C1F4055"/>
    <w:lvl w:ilvl="0" w:tentative="0">
      <w:start w:val="1"/>
      <w:numFmt w:val="bullet"/>
      <w:lvlText w:val=""/>
      <w:lvlJc w:val="left"/>
      <w:pPr>
        <w:ind w:left="420" w:hanging="420"/>
      </w:pPr>
      <w:rPr>
        <w:rFonts w:hint="default" w:ascii="Wingdings" w:hAnsi="Wingdings"/>
      </w:rPr>
    </w:lvl>
  </w:abstractNum>
  <w:abstractNum w:abstractNumId="11">
    <w:nsid w:val="4ED9C817"/>
    <w:multiLevelType w:val="multilevel"/>
    <w:tmpl w:val="4ED9C817"/>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ourier New"/>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Symbo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2">
    <w:nsid w:val="5102066C"/>
    <w:multiLevelType w:val="multilevel"/>
    <w:tmpl w:val="5102066C"/>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3">
    <w:nsid w:val="53345E16"/>
    <w:multiLevelType w:val="singleLevel"/>
    <w:tmpl w:val="53345E16"/>
    <w:lvl w:ilvl="0" w:tentative="0">
      <w:start w:val="1"/>
      <w:numFmt w:val="bullet"/>
      <w:lvlText w:val="·"/>
      <w:lvlJc w:val="left"/>
      <w:pPr>
        <w:ind w:left="420" w:hanging="420"/>
      </w:pPr>
      <w:rPr>
        <w:rFonts w:hint="default" w:ascii="宋体" w:hAnsi="宋体" w:eastAsia="宋体" w:cs="宋体"/>
      </w:rPr>
    </w:lvl>
  </w:abstractNum>
  <w:abstractNum w:abstractNumId="14">
    <w:nsid w:val="57113686"/>
    <w:multiLevelType w:val="singleLevel"/>
    <w:tmpl w:val="57113686"/>
    <w:lvl w:ilvl="0" w:tentative="0">
      <w:start w:val="1"/>
      <w:numFmt w:val="bullet"/>
      <w:lvlText w:val=""/>
      <w:lvlJc w:val="left"/>
      <w:pPr>
        <w:tabs>
          <w:tab w:val="left" w:pos="0"/>
        </w:tabs>
        <w:ind w:left="420" w:hanging="420"/>
      </w:pPr>
      <w:rPr>
        <w:rFonts w:hint="default" w:ascii="Wingdings" w:hAnsi="Wingdings"/>
      </w:rPr>
    </w:lvl>
  </w:abstractNum>
  <w:abstractNum w:abstractNumId="15">
    <w:nsid w:val="5E93823A"/>
    <w:multiLevelType w:val="singleLevel"/>
    <w:tmpl w:val="5E93823A"/>
    <w:lvl w:ilvl="0" w:tentative="0">
      <w:start w:val="1"/>
      <w:numFmt w:val="decimal"/>
      <w:suff w:val="space"/>
      <w:lvlText w:val="[%1]"/>
      <w:lvlJc w:val="left"/>
    </w:lvl>
  </w:abstractNum>
  <w:abstractNum w:abstractNumId="16">
    <w:nsid w:val="61C16220"/>
    <w:multiLevelType w:val="multilevel"/>
    <w:tmpl w:val="61C1622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9"/>
  </w:num>
  <w:num w:numId="4">
    <w:abstractNumId w:val="4"/>
  </w:num>
  <w:num w:numId="5">
    <w:abstractNumId w:val="18"/>
  </w:num>
  <w:num w:numId="6">
    <w:abstractNumId w:val="9"/>
  </w:num>
  <w:num w:numId="7">
    <w:abstractNumId w:val="6"/>
  </w:num>
  <w:num w:numId="8">
    <w:abstractNumId w:val="17"/>
  </w:num>
  <w:num w:numId="9">
    <w:abstractNumId w:val="14"/>
  </w:num>
  <w:num w:numId="10">
    <w:abstractNumId w:val="5"/>
  </w:num>
  <w:num w:numId="11">
    <w:abstractNumId w:val="7"/>
  </w:num>
  <w:num w:numId="12">
    <w:abstractNumId w:val="16"/>
  </w:num>
  <w:num w:numId="13">
    <w:abstractNumId w:val="2"/>
  </w:num>
  <w:num w:numId="14">
    <w:abstractNumId w:val="11"/>
  </w:num>
  <w:num w:numId="15">
    <w:abstractNumId w:val="13"/>
  </w:num>
  <w:num w:numId="16">
    <w:abstractNumId w:val="1"/>
  </w:num>
  <w:num w:numId="17">
    <w:abstractNumId w:val="12"/>
  </w:num>
  <w:num w:numId="18">
    <w:abstractNumId w:val="8"/>
  </w:num>
  <w:num w:numId="19">
    <w:abstractNumId w:val="10"/>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trackRevision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3"/>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EF0"/>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448"/>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011"/>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D2F"/>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120E66"/>
    <w:rsid w:val="0115454E"/>
    <w:rsid w:val="01242C11"/>
    <w:rsid w:val="0133236C"/>
    <w:rsid w:val="013B5510"/>
    <w:rsid w:val="013C195E"/>
    <w:rsid w:val="013C4497"/>
    <w:rsid w:val="013D13C6"/>
    <w:rsid w:val="0140787E"/>
    <w:rsid w:val="01422B07"/>
    <w:rsid w:val="01462EFE"/>
    <w:rsid w:val="015E0BE9"/>
    <w:rsid w:val="016847E7"/>
    <w:rsid w:val="018F1416"/>
    <w:rsid w:val="01AB094A"/>
    <w:rsid w:val="01AE21DC"/>
    <w:rsid w:val="01B306E4"/>
    <w:rsid w:val="01D27A5F"/>
    <w:rsid w:val="01DB4A64"/>
    <w:rsid w:val="01E81A27"/>
    <w:rsid w:val="01F37365"/>
    <w:rsid w:val="01F9714C"/>
    <w:rsid w:val="02004B2C"/>
    <w:rsid w:val="0201766A"/>
    <w:rsid w:val="020E5459"/>
    <w:rsid w:val="02151F95"/>
    <w:rsid w:val="02165CD7"/>
    <w:rsid w:val="021C2098"/>
    <w:rsid w:val="02274CF6"/>
    <w:rsid w:val="022A4AA1"/>
    <w:rsid w:val="022E47B0"/>
    <w:rsid w:val="02320E86"/>
    <w:rsid w:val="02434112"/>
    <w:rsid w:val="02554999"/>
    <w:rsid w:val="02565169"/>
    <w:rsid w:val="02574326"/>
    <w:rsid w:val="025B75F9"/>
    <w:rsid w:val="026D0BFF"/>
    <w:rsid w:val="02762CB4"/>
    <w:rsid w:val="02767EF6"/>
    <w:rsid w:val="027F75CB"/>
    <w:rsid w:val="02874D3F"/>
    <w:rsid w:val="028C4EAA"/>
    <w:rsid w:val="029B47FF"/>
    <w:rsid w:val="02A01AB0"/>
    <w:rsid w:val="02B2265C"/>
    <w:rsid w:val="02B34E07"/>
    <w:rsid w:val="02DC5D29"/>
    <w:rsid w:val="02E67121"/>
    <w:rsid w:val="02E818F1"/>
    <w:rsid w:val="02EE6889"/>
    <w:rsid w:val="02FF5491"/>
    <w:rsid w:val="030F5EB8"/>
    <w:rsid w:val="031B3D3A"/>
    <w:rsid w:val="031B4B18"/>
    <w:rsid w:val="032063E6"/>
    <w:rsid w:val="03300F14"/>
    <w:rsid w:val="03382F46"/>
    <w:rsid w:val="033A53C5"/>
    <w:rsid w:val="033D46E5"/>
    <w:rsid w:val="03460D15"/>
    <w:rsid w:val="0362687D"/>
    <w:rsid w:val="03653EA6"/>
    <w:rsid w:val="037C375A"/>
    <w:rsid w:val="037C3EB8"/>
    <w:rsid w:val="037C5BED"/>
    <w:rsid w:val="038317D7"/>
    <w:rsid w:val="03871F70"/>
    <w:rsid w:val="03915486"/>
    <w:rsid w:val="03AE2B70"/>
    <w:rsid w:val="03C06834"/>
    <w:rsid w:val="03C200B6"/>
    <w:rsid w:val="03C61C73"/>
    <w:rsid w:val="03D81924"/>
    <w:rsid w:val="03E9024B"/>
    <w:rsid w:val="03E925DE"/>
    <w:rsid w:val="03EF321E"/>
    <w:rsid w:val="03F638B5"/>
    <w:rsid w:val="042B188D"/>
    <w:rsid w:val="04314521"/>
    <w:rsid w:val="04322C7E"/>
    <w:rsid w:val="043A302C"/>
    <w:rsid w:val="043B4D0A"/>
    <w:rsid w:val="043F479D"/>
    <w:rsid w:val="04515159"/>
    <w:rsid w:val="045257BD"/>
    <w:rsid w:val="045453B9"/>
    <w:rsid w:val="04694EAC"/>
    <w:rsid w:val="046A03D5"/>
    <w:rsid w:val="046C35A2"/>
    <w:rsid w:val="04757AF8"/>
    <w:rsid w:val="04852804"/>
    <w:rsid w:val="048E35DC"/>
    <w:rsid w:val="0492209E"/>
    <w:rsid w:val="049406C4"/>
    <w:rsid w:val="04B345F7"/>
    <w:rsid w:val="04BE7DD0"/>
    <w:rsid w:val="04C174A0"/>
    <w:rsid w:val="04C80C0B"/>
    <w:rsid w:val="04CD0148"/>
    <w:rsid w:val="04EB3650"/>
    <w:rsid w:val="04F915E5"/>
    <w:rsid w:val="05081EC1"/>
    <w:rsid w:val="050D0125"/>
    <w:rsid w:val="051B02F6"/>
    <w:rsid w:val="052B2B3D"/>
    <w:rsid w:val="054445DB"/>
    <w:rsid w:val="055A06C9"/>
    <w:rsid w:val="05644CA9"/>
    <w:rsid w:val="056B33A0"/>
    <w:rsid w:val="05702DF2"/>
    <w:rsid w:val="05733EFD"/>
    <w:rsid w:val="058A745F"/>
    <w:rsid w:val="058D2653"/>
    <w:rsid w:val="05930449"/>
    <w:rsid w:val="05A11E98"/>
    <w:rsid w:val="05AB6C7C"/>
    <w:rsid w:val="05B56F8C"/>
    <w:rsid w:val="05C06E8C"/>
    <w:rsid w:val="05C154CA"/>
    <w:rsid w:val="05C70721"/>
    <w:rsid w:val="05CF1D27"/>
    <w:rsid w:val="05E43649"/>
    <w:rsid w:val="05EA3121"/>
    <w:rsid w:val="05EB37CA"/>
    <w:rsid w:val="05EF39F0"/>
    <w:rsid w:val="06073C3A"/>
    <w:rsid w:val="06093003"/>
    <w:rsid w:val="060D79A1"/>
    <w:rsid w:val="060E00E0"/>
    <w:rsid w:val="06143284"/>
    <w:rsid w:val="06197729"/>
    <w:rsid w:val="0622111A"/>
    <w:rsid w:val="06257099"/>
    <w:rsid w:val="0632692A"/>
    <w:rsid w:val="064244D9"/>
    <w:rsid w:val="06511ACC"/>
    <w:rsid w:val="06564BA4"/>
    <w:rsid w:val="067751BD"/>
    <w:rsid w:val="06A11B02"/>
    <w:rsid w:val="06B34C51"/>
    <w:rsid w:val="06BA6ABF"/>
    <w:rsid w:val="06C62058"/>
    <w:rsid w:val="06CF7159"/>
    <w:rsid w:val="06D32D7E"/>
    <w:rsid w:val="06DD3D71"/>
    <w:rsid w:val="06E21138"/>
    <w:rsid w:val="06E64C63"/>
    <w:rsid w:val="06F24EF2"/>
    <w:rsid w:val="07470651"/>
    <w:rsid w:val="074F79E7"/>
    <w:rsid w:val="075815C4"/>
    <w:rsid w:val="07934010"/>
    <w:rsid w:val="07973398"/>
    <w:rsid w:val="079D12CF"/>
    <w:rsid w:val="07A46BE4"/>
    <w:rsid w:val="07AE7932"/>
    <w:rsid w:val="07B814E5"/>
    <w:rsid w:val="07D013A8"/>
    <w:rsid w:val="07D648D8"/>
    <w:rsid w:val="07DF5024"/>
    <w:rsid w:val="07E22A7A"/>
    <w:rsid w:val="07FD44E9"/>
    <w:rsid w:val="0805407D"/>
    <w:rsid w:val="08127126"/>
    <w:rsid w:val="08132E8B"/>
    <w:rsid w:val="081D706E"/>
    <w:rsid w:val="08453F53"/>
    <w:rsid w:val="085066C7"/>
    <w:rsid w:val="0852564D"/>
    <w:rsid w:val="085D519A"/>
    <w:rsid w:val="086378F2"/>
    <w:rsid w:val="086D1BC3"/>
    <w:rsid w:val="08706B4B"/>
    <w:rsid w:val="087E5043"/>
    <w:rsid w:val="0882323D"/>
    <w:rsid w:val="08862464"/>
    <w:rsid w:val="088B79C8"/>
    <w:rsid w:val="08CE61CB"/>
    <w:rsid w:val="08D2064E"/>
    <w:rsid w:val="08F44BC5"/>
    <w:rsid w:val="08FA203B"/>
    <w:rsid w:val="090A5EB9"/>
    <w:rsid w:val="0923103D"/>
    <w:rsid w:val="093A1D12"/>
    <w:rsid w:val="093A51B7"/>
    <w:rsid w:val="09430F9C"/>
    <w:rsid w:val="094B14E7"/>
    <w:rsid w:val="095017F1"/>
    <w:rsid w:val="0950242B"/>
    <w:rsid w:val="095256C8"/>
    <w:rsid w:val="09664D4F"/>
    <w:rsid w:val="096807A5"/>
    <w:rsid w:val="0970282E"/>
    <w:rsid w:val="097317EC"/>
    <w:rsid w:val="09964D40"/>
    <w:rsid w:val="09A6541D"/>
    <w:rsid w:val="09AB29D4"/>
    <w:rsid w:val="09E87090"/>
    <w:rsid w:val="09F842D5"/>
    <w:rsid w:val="09F97D63"/>
    <w:rsid w:val="09FD0440"/>
    <w:rsid w:val="0A0518AB"/>
    <w:rsid w:val="0A085C07"/>
    <w:rsid w:val="0A0D50DF"/>
    <w:rsid w:val="0A32370E"/>
    <w:rsid w:val="0A3247B9"/>
    <w:rsid w:val="0A585A2D"/>
    <w:rsid w:val="0A594E3E"/>
    <w:rsid w:val="0A5C768D"/>
    <w:rsid w:val="0A69260C"/>
    <w:rsid w:val="0A6F50FD"/>
    <w:rsid w:val="0A934843"/>
    <w:rsid w:val="0A980D85"/>
    <w:rsid w:val="0A9E4A8D"/>
    <w:rsid w:val="0A9F2012"/>
    <w:rsid w:val="0AAA6D9C"/>
    <w:rsid w:val="0AAF64F9"/>
    <w:rsid w:val="0AB15DD5"/>
    <w:rsid w:val="0AB53627"/>
    <w:rsid w:val="0AB6376C"/>
    <w:rsid w:val="0ACE1EAB"/>
    <w:rsid w:val="0AE1593F"/>
    <w:rsid w:val="0AE57C7B"/>
    <w:rsid w:val="0AE65CB9"/>
    <w:rsid w:val="0AE71F9A"/>
    <w:rsid w:val="0AE7556B"/>
    <w:rsid w:val="0AE96B11"/>
    <w:rsid w:val="0AFD09EB"/>
    <w:rsid w:val="0AFF05E6"/>
    <w:rsid w:val="0B07538C"/>
    <w:rsid w:val="0B0F03B9"/>
    <w:rsid w:val="0B1338B8"/>
    <w:rsid w:val="0B1A274D"/>
    <w:rsid w:val="0B227BC7"/>
    <w:rsid w:val="0B254ED4"/>
    <w:rsid w:val="0B2B6D2A"/>
    <w:rsid w:val="0B2D5BF1"/>
    <w:rsid w:val="0B2E5D46"/>
    <w:rsid w:val="0B3A4E5B"/>
    <w:rsid w:val="0B426855"/>
    <w:rsid w:val="0B536C32"/>
    <w:rsid w:val="0B5823AA"/>
    <w:rsid w:val="0B595FAD"/>
    <w:rsid w:val="0B6E0FF5"/>
    <w:rsid w:val="0B7646AE"/>
    <w:rsid w:val="0B827907"/>
    <w:rsid w:val="0B8C4C1A"/>
    <w:rsid w:val="0B9549DB"/>
    <w:rsid w:val="0B9D13EC"/>
    <w:rsid w:val="0BA07E46"/>
    <w:rsid w:val="0BAE32C3"/>
    <w:rsid w:val="0BB56784"/>
    <w:rsid w:val="0BC032D6"/>
    <w:rsid w:val="0BC10793"/>
    <w:rsid w:val="0BDB1E35"/>
    <w:rsid w:val="0BDB6546"/>
    <w:rsid w:val="0BE0571E"/>
    <w:rsid w:val="0BE32529"/>
    <w:rsid w:val="0BE34FBA"/>
    <w:rsid w:val="0C005070"/>
    <w:rsid w:val="0C0A437F"/>
    <w:rsid w:val="0C195365"/>
    <w:rsid w:val="0C1A6BD3"/>
    <w:rsid w:val="0C1D70C9"/>
    <w:rsid w:val="0C3314C7"/>
    <w:rsid w:val="0C6170AA"/>
    <w:rsid w:val="0C6F4E58"/>
    <w:rsid w:val="0C76751C"/>
    <w:rsid w:val="0CDA09F1"/>
    <w:rsid w:val="0CE30760"/>
    <w:rsid w:val="0CEA5470"/>
    <w:rsid w:val="0CFB1DB9"/>
    <w:rsid w:val="0D103D70"/>
    <w:rsid w:val="0D220294"/>
    <w:rsid w:val="0D233EDD"/>
    <w:rsid w:val="0D283356"/>
    <w:rsid w:val="0D3A4A42"/>
    <w:rsid w:val="0D5773D6"/>
    <w:rsid w:val="0D594DB6"/>
    <w:rsid w:val="0D632B1E"/>
    <w:rsid w:val="0D6E771D"/>
    <w:rsid w:val="0D733852"/>
    <w:rsid w:val="0D7D7848"/>
    <w:rsid w:val="0D80206A"/>
    <w:rsid w:val="0D8E173E"/>
    <w:rsid w:val="0D9925C9"/>
    <w:rsid w:val="0DA10A04"/>
    <w:rsid w:val="0DD74FA9"/>
    <w:rsid w:val="0DF13B47"/>
    <w:rsid w:val="0E0A5187"/>
    <w:rsid w:val="0E316BA2"/>
    <w:rsid w:val="0E332166"/>
    <w:rsid w:val="0E3917FF"/>
    <w:rsid w:val="0E3F492F"/>
    <w:rsid w:val="0E613656"/>
    <w:rsid w:val="0E72787E"/>
    <w:rsid w:val="0E7F1356"/>
    <w:rsid w:val="0E86024B"/>
    <w:rsid w:val="0E983A75"/>
    <w:rsid w:val="0E9F5739"/>
    <w:rsid w:val="0EAB569D"/>
    <w:rsid w:val="0EB96849"/>
    <w:rsid w:val="0EBA6C3E"/>
    <w:rsid w:val="0EC3008E"/>
    <w:rsid w:val="0EDB339F"/>
    <w:rsid w:val="0EDF3395"/>
    <w:rsid w:val="0EF2082E"/>
    <w:rsid w:val="0EF5454E"/>
    <w:rsid w:val="0F0F7C45"/>
    <w:rsid w:val="0F125211"/>
    <w:rsid w:val="0F152A9D"/>
    <w:rsid w:val="0F1E6D2F"/>
    <w:rsid w:val="0F1E7B0D"/>
    <w:rsid w:val="0F2A7AC4"/>
    <w:rsid w:val="0F605D69"/>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0FEF2DCF"/>
    <w:rsid w:val="10040C3F"/>
    <w:rsid w:val="100B59FA"/>
    <w:rsid w:val="10110CDB"/>
    <w:rsid w:val="10206D1E"/>
    <w:rsid w:val="10357330"/>
    <w:rsid w:val="103B7609"/>
    <w:rsid w:val="10592ADF"/>
    <w:rsid w:val="105F040B"/>
    <w:rsid w:val="10682E8F"/>
    <w:rsid w:val="10701270"/>
    <w:rsid w:val="107A5169"/>
    <w:rsid w:val="107B4EBF"/>
    <w:rsid w:val="107C4D2C"/>
    <w:rsid w:val="10881C30"/>
    <w:rsid w:val="108A6F8A"/>
    <w:rsid w:val="10907B90"/>
    <w:rsid w:val="10982CE6"/>
    <w:rsid w:val="109C0F24"/>
    <w:rsid w:val="10A27296"/>
    <w:rsid w:val="10A32DF1"/>
    <w:rsid w:val="10A45B57"/>
    <w:rsid w:val="10A50D79"/>
    <w:rsid w:val="10A6159F"/>
    <w:rsid w:val="10AB24DF"/>
    <w:rsid w:val="10C04807"/>
    <w:rsid w:val="10D42E50"/>
    <w:rsid w:val="10D651F1"/>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BC35EF"/>
    <w:rsid w:val="11C557B7"/>
    <w:rsid w:val="11DD789B"/>
    <w:rsid w:val="120B6EA9"/>
    <w:rsid w:val="1228310E"/>
    <w:rsid w:val="12313D6F"/>
    <w:rsid w:val="12325B1D"/>
    <w:rsid w:val="123D7598"/>
    <w:rsid w:val="12444F04"/>
    <w:rsid w:val="1244691E"/>
    <w:rsid w:val="1251591B"/>
    <w:rsid w:val="12610602"/>
    <w:rsid w:val="126B461E"/>
    <w:rsid w:val="127D72F2"/>
    <w:rsid w:val="12874FEB"/>
    <w:rsid w:val="12A727B4"/>
    <w:rsid w:val="12A908D3"/>
    <w:rsid w:val="12AA7F02"/>
    <w:rsid w:val="12B31A9B"/>
    <w:rsid w:val="12B47253"/>
    <w:rsid w:val="12C14396"/>
    <w:rsid w:val="12CA5052"/>
    <w:rsid w:val="12DC36AA"/>
    <w:rsid w:val="12DE33CA"/>
    <w:rsid w:val="12EA7758"/>
    <w:rsid w:val="12ED73AB"/>
    <w:rsid w:val="12FA679C"/>
    <w:rsid w:val="12FC274E"/>
    <w:rsid w:val="12FF52DE"/>
    <w:rsid w:val="13030235"/>
    <w:rsid w:val="13063F94"/>
    <w:rsid w:val="13101816"/>
    <w:rsid w:val="13344C16"/>
    <w:rsid w:val="1343505A"/>
    <w:rsid w:val="13544A6B"/>
    <w:rsid w:val="13596CEC"/>
    <w:rsid w:val="135C3AB9"/>
    <w:rsid w:val="136B08B3"/>
    <w:rsid w:val="137A40BD"/>
    <w:rsid w:val="138F4ADA"/>
    <w:rsid w:val="13910B1E"/>
    <w:rsid w:val="13B158DD"/>
    <w:rsid w:val="13B563DA"/>
    <w:rsid w:val="13BD31AB"/>
    <w:rsid w:val="13C53BCF"/>
    <w:rsid w:val="13C55B19"/>
    <w:rsid w:val="13C7122C"/>
    <w:rsid w:val="13CD27B6"/>
    <w:rsid w:val="13E532CA"/>
    <w:rsid w:val="13EA24B1"/>
    <w:rsid w:val="13ED0B0B"/>
    <w:rsid w:val="13ED7D7F"/>
    <w:rsid w:val="13F96221"/>
    <w:rsid w:val="14007100"/>
    <w:rsid w:val="14055497"/>
    <w:rsid w:val="14145A78"/>
    <w:rsid w:val="14176353"/>
    <w:rsid w:val="141F7FB3"/>
    <w:rsid w:val="14226FC4"/>
    <w:rsid w:val="14242FDA"/>
    <w:rsid w:val="14436E72"/>
    <w:rsid w:val="144F55C3"/>
    <w:rsid w:val="1450322B"/>
    <w:rsid w:val="145207A2"/>
    <w:rsid w:val="14524507"/>
    <w:rsid w:val="14547E86"/>
    <w:rsid w:val="14637D36"/>
    <w:rsid w:val="147C2A02"/>
    <w:rsid w:val="147E33CA"/>
    <w:rsid w:val="14804E60"/>
    <w:rsid w:val="14827F07"/>
    <w:rsid w:val="1487373C"/>
    <w:rsid w:val="14960C1B"/>
    <w:rsid w:val="14A6749E"/>
    <w:rsid w:val="14B0700C"/>
    <w:rsid w:val="14C02505"/>
    <w:rsid w:val="14C34089"/>
    <w:rsid w:val="14CD05EB"/>
    <w:rsid w:val="14D35BD9"/>
    <w:rsid w:val="14DB33FC"/>
    <w:rsid w:val="14DE0AFC"/>
    <w:rsid w:val="14E7787F"/>
    <w:rsid w:val="14F44F2E"/>
    <w:rsid w:val="15386363"/>
    <w:rsid w:val="15416178"/>
    <w:rsid w:val="1561603B"/>
    <w:rsid w:val="15690DB0"/>
    <w:rsid w:val="157E6456"/>
    <w:rsid w:val="15846412"/>
    <w:rsid w:val="158F48E5"/>
    <w:rsid w:val="15C94A90"/>
    <w:rsid w:val="15D74588"/>
    <w:rsid w:val="15EB4378"/>
    <w:rsid w:val="15FB4E72"/>
    <w:rsid w:val="160B185E"/>
    <w:rsid w:val="160F7157"/>
    <w:rsid w:val="16240B7E"/>
    <w:rsid w:val="1628036C"/>
    <w:rsid w:val="163871EC"/>
    <w:rsid w:val="164162EA"/>
    <w:rsid w:val="16435A3F"/>
    <w:rsid w:val="16662C80"/>
    <w:rsid w:val="16702D89"/>
    <w:rsid w:val="16704155"/>
    <w:rsid w:val="16796F0F"/>
    <w:rsid w:val="167F480A"/>
    <w:rsid w:val="1688556A"/>
    <w:rsid w:val="16A00FDF"/>
    <w:rsid w:val="16A32AAC"/>
    <w:rsid w:val="16A470C1"/>
    <w:rsid w:val="16AF0615"/>
    <w:rsid w:val="16BD0B49"/>
    <w:rsid w:val="16C9587E"/>
    <w:rsid w:val="16D50CFC"/>
    <w:rsid w:val="16E33AB3"/>
    <w:rsid w:val="16EB76EF"/>
    <w:rsid w:val="17141C1D"/>
    <w:rsid w:val="171B0546"/>
    <w:rsid w:val="17304A49"/>
    <w:rsid w:val="173353C2"/>
    <w:rsid w:val="173A18AA"/>
    <w:rsid w:val="174224E7"/>
    <w:rsid w:val="17493381"/>
    <w:rsid w:val="174E3271"/>
    <w:rsid w:val="175E627F"/>
    <w:rsid w:val="178102C8"/>
    <w:rsid w:val="17874ED3"/>
    <w:rsid w:val="17886A2C"/>
    <w:rsid w:val="178F26E7"/>
    <w:rsid w:val="17966843"/>
    <w:rsid w:val="17A9660F"/>
    <w:rsid w:val="17C86BF9"/>
    <w:rsid w:val="17D04B6E"/>
    <w:rsid w:val="17D80F4C"/>
    <w:rsid w:val="17E14521"/>
    <w:rsid w:val="17F07EA2"/>
    <w:rsid w:val="17F779C2"/>
    <w:rsid w:val="18002CEE"/>
    <w:rsid w:val="180414A0"/>
    <w:rsid w:val="18077070"/>
    <w:rsid w:val="18117661"/>
    <w:rsid w:val="182E1F92"/>
    <w:rsid w:val="18414CA2"/>
    <w:rsid w:val="18523ADE"/>
    <w:rsid w:val="18660CD4"/>
    <w:rsid w:val="1866694B"/>
    <w:rsid w:val="186C1ACE"/>
    <w:rsid w:val="186C7B87"/>
    <w:rsid w:val="186D267B"/>
    <w:rsid w:val="18890477"/>
    <w:rsid w:val="188C5B30"/>
    <w:rsid w:val="188C6C7D"/>
    <w:rsid w:val="18960812"/>
    <w:rsid w:val="189C7EF6"/>
    <w:rsid w:val="18B04B4D"/>
    <w:rsid w:val="18C5316D"/>
    <w:rsid w:val="18E61DF6"/>
    <w:rsid w:val="18E87E12"/>
    <w:rsid w:val="18F5052C"/>
    <w:rsid w:val="191D14D9"/>
    <w:rsid w:val="196244DB"/>
    <w:rsid w:val="19693EEF"/>
    <w:rsid w:val="196B5F41"/>
    <w:rsid w:val="199860B4"/>
    <w:rsid w:val="199E1567"/>
    <w:rsid w:val="19A33A02"/>
    <w:rsid w:val="19D1732F"/>
    <w:rsid w:val="19DD2371"/>
    <w:rsid w:val="19F92180"/>
    <w:rsid w:val="1A001213"/>
    <w:rsid w:val="1A0B53D9"/>
    <w:rsid w:val="1A0D4248"/>
    <w:rsid w:val="1A0E6275"/>
    <w:rsid w:val="1A200A74"/>
    <w:rsid w:val="1A2619C2"/>
    <w:rsid w:val="1A2F2398"/>
    <w:rsid w:val="1A3055B8"/>
    <w:rsid w:val="1A344C2A"/>
    <w:rsid w:val="1A3E0E11"/>
    <w:rsid w:val="1A5655AF"/>
    <w:rsid w:val="1A5C4727"/>
    <w:rsid w:val="1A6B5CD7"/>
    <w:rsid w:val="1A9B675D"/>
    <w:rsid w:val="1AD153DF"/>
    <w:rsid w:val="1AD36372"/>
    <w:rsid w:val="1ADE3E70"/>
    <w:rsid w:val="1AE032B7"/>
    <w:rsid w:val="1AE42348"/>
    <w:rsid w:val="1AE5004C"/>
    <w:rsid w:val="1AF2383D"/>
    <w:rsid w:val="1AF762F6"/>
    <w:rsid w:val="1B01048D"/>
    <w:rsid w:val="1B012875"/>
    <w:rsid w:val="1B157C1A"/>
    <w:rsid w:val="1B1A6E4B"/>
    <w:rsid w:val="1B211C8A"/>
    <w:rsid w:val="1B325062"/>
    <w:rsid w:val="1B572C7F"/>
    <w:rsid w:val="1B5734B2"/>
    <w:rsid w:val="1B6B1162"/>
    <w:rsid w:val="1B741EAE"/>
    <w:rsid w:val="1B99173F"/>
    <w:rsid w:val="1B9E5782"/>
    <w:rsid w:val="1B9F2F5B"/>
    <w:rsid w:val="1BA31D38"/>
    <w:rsid w:val="1BB15A38"/>
    <w:rsid w:val="1BB32D92"/>
    <w:rsid w:val="1BB63E1D"/>
    <w:rsid w:val="1BCA4E13"/>
    <w:rsid w:val="1BD93E58"/>
    <w:rsid w:val="1BDB5923"/>
    <w:rsid w:val="1BE56C8C"/>
    <w:rsid w:val="1BE75134"/>
    <w:rsid w:val="1BEB39AC"/>
    <w:rsid w:val="1C3C5A93"/>
    <w:rsid w:val="1C3D2E04"/>
    <w:rsid w:val="1C3D5C01"/>
    <w:rsid w:val="1C4852DE"/>
    <w:rsid w:val="1C4D45E0"/>
    <w:rsid w:val="1C971D45"/>
    <w:rsid w:val="1CA9456E"/>
    <w:rsid w:val="1CB701AA"/>
    <w:rsid w:val="1CBF0A48"/>
    <w:rsid w:val="1CC5776E"/>
    <w:rsid w:val="1CCA0F66"/>
    <w:rsid w:val="1CD01190"/>
    <w:rsid w:val="1CDD4255"/>
    <w:rsid w:val="1CDE446D"/>
    <w:rsid w:val="1CE20210"/>
    <w:rsid w:val="1CE55FB2"/>
    <w:rsid w:val="1CFA0A2E"/>
    <w:rsid w:val="1D0737DF"/>
    <w:rsid w:val="1D0F49F3"/>
    <w:rsid w:val="1D234999"/>
    <w:rsid w:val="1D26771C"/>
    <w:rsid w:val="1D464FEE"/>
    <w:rsid w:val="1D5D7C71"/>
    <w:rsid w:val="1D5E15AD"/>
    <w:rsid w:val="1D644902"/>
    <w:rsid w:val="1D6B1D16"/>
    <w:rsid w:val="1D7551EF"/>
    <w:rsid w:val="1D8C2BA2"/>
    <w:rsid w:val="1D8F6B81"/>
    <w:rsid w:val="1D905228"/>
    <w:rsid w:val="1D9776E5"/>
    <w:rsid w:val="1D9E7BBD"/>
    <w:rsid w:val="1DAB0536"/>
    <w:rsid w:val="1DAE480F"/>
    <w:rsid w:val="1DBC1C44"/>
    <w:rsid w:val="1DCC2895"/>
    <w:rsid w:val="1DF24DA6"/>
    <w:rsid w:val="1DF43659"/>
    <w:rsid w:val="1DFC21EE"/>
    <w:rsid w:val="1DFF69C5"/>
    <w:rsid w:val="1E004BB5"/>
    <w:rsid w:val="1E0E4DD7"/>
    <w:rsid w:val="1E0E72A0"/>
    <w:rsid w:val="1E202860"/>
    <w:rsid w:val="1E4473F8"/>
    <w:rsid w:val="1E463D59"/>
    <w:rsid w:val="1E490459"/>
    <w:rsid w:val="1E50751B"/>
    <w:rsid w:val="1E545B82"/>
    <w:rsid w:val="1E6D1C74"/>
    <w:rsid w:val="1E736E4E"/>
    <w:rsid w:val="1E7E5EB1"/>
    <w:rsid w:val="1E9B048D"/>
    <w:rsid w:val="1EA61B83"/>
    <w:rsid w:val="1EA82227"/>
    <w:rsid w:val="1EAD188D"/>
    <w:rsid w:val="1EBC7347"/>
    <w:rsid w:val="1EBF31D2"/>
    <w:rsid w:val="1EC114B5"/>
    <w:rsid w:val="1EDC2551"/>
    <w:rsid w:val="1EF23920"/>
    <w:rsid w:val="1EF80396"/>
    <w:rsid w:val="1F032AB6"/>
    <w:rsid w:val="1F075D27"/>
    <w:rsid w:val="1F0E7107"/>
    <w:rsid w:val="1F1C29EF"/>
    <w:rsid w:val="1F234826"/>
    <w:rsid w:val="1F31645A"/>
    <w:rsid w:val="1F331E38"/>
    <w:rsid w:val="1F3E4D51"/>
    <w:rsid w:val="1F4773C4"/>
    <w:rsid w:val="1F4C5C8A"/>
    <w:rsid w:val="1F517BAC"/>
    <w:rsid w:val="1F5E0D38"/>
    <w:rsid w:val="1F5F4414"/>
    <w:rsid w:val="1F637F58"/>
    <w:rsid w:val="1F826970"/>
    <w:rsid w:val="1F8B1C0F"/>
    <w:rsid w:val="1F972A67"/>
    <w:rsid w:val="1FA317AB"/>
    <w:rsid w:val="1FA415FD"/>
    <w:rsid w:val="1FA60478"/>
    <w:rsid w:val="1FA83BDA"/>
    <w:rsid w:val="1FA9286D"/>
    <w:rsid w:val="1FB66D49"/>
    <w:rsid w:val="1FCB673D"/>
    <w:rsid w:val="1FEE648E"/>
    <w:rsid w:val="1FF433BA"/>
    <w:rsid w:val="1FF9202F"/>
    <w:rsid w:val="20003026"/>
    <w:rsid w:val="200F3B23"/>
    <w:rsid w:val="201967D7"/>
    <w:rsid w:val="20374786"/>
    <w:rsid w:val="2039386F"/>
    <w:rsid w:val="20436342"/>
    <w:rsid w:val="20601C10"/>
    <w:rsid w:val="2068761A"/>
    <w:rsid w:val="206B5E9E"/>
    <w:rsid w:val="20757C7B"/>
    <w:rsid w:val="207E789F"/>
    <w:rsid w:val="20907BA5"/>
    <w:rsid w:val="20A13861"/>
    <w:rsid w:val="20BB0C31"/>
    <w:rsid w:val="20C66D8E"/>
    <w:rsid w:val="20CF37FC"/>
    <w:rsid w:val="20D717F3"/>
    <w:rsid w:val="20E02D05"/>
    <w:rsid w:val="20E32FBE"/>
    <w:rsid w:val="20F01565"/>
    <w:rsid w:val="20F12135"/>
    <w:rsid w:val="20F90AAC"/>
    <w:rsid w:val="20FA405B"/>
    <w:rsid w:val="2123751D"/>
    <w:rsid w:val="212729AC"/>
    <w:rsid w:val="212B616E"/>
    <w:rsid w:val="213121BA"/>
    <w:rsid w:val="214A2960"/>
    <w:rsid w:val="214E6349"/>
    <w:rsid w:val="215302B9"/>
    <w:rsid w:val="2155157C"/>
    <w:rsid w:val="215670DE"/>
    <w:rsid w:val="215A0945"/>
    <w:rsid w:val="2183462B"/>
    <w:rsid w:val="218E4A09"/>
    <w:rsid w:val="218E6399"/>
    <w:rsid w:val="219C6DDD"/>
    <w:rsid w:val="21B31BFA"/>
    <w:rsid w:val="21B97C7E"/>
    <w:rsid w:val="21DF3292"/>
    <w:rsid w:val="21DF71DE"/>
    <w:rsid w:val="22111157"/>
    <w:rsid w:val="22257114"/>
    <w:rsid w:val="2229623B"/>
    <w:rsid w:val="22477192"/>
    <w:rsid w:val="224C2951"/>
    <w:rsid w:val="224C75BD"/>
    <w:rsid w:val="22771E18"/>
    <w:rsid w:val="227A54E3"/>
    <w:rsid w:val="22865CFC"/>
    <w:rsid w:val="22BD3256"/>
    <w:rsid w:val="22BD4E7D"/>
    <w:rsid w:val="22C96B90"/>
    <w:rsid w:val="22D07449"/>
    <w:rsid w:val="22E40F3D"/>
    <w:rsid w:val="22FF02BC"/>
    <w:rsid w:val="230B248C"/>
    <w:rsid w:val="231847B8"/>
    <w:rsid w:val="231E3ED2"/>
    <w:rsid w:val="23304ABE"/>
    <w:rsid w:val="234421C7"/>
    <w:rsid w:val="234D61BE"/>
    <w:rsid w:val="23537C14"/>
    <w:rsid w:val="2357065A"/>
    <w:rsid w:val="2359486E"/>
    <w:rsid w:val="2362645B"/>
    <w:rsid w:val="23700EEA"/>
    <w:rsid w:val="238C42D2"/>
    <w:rsid w:val="23926459"/>
    <w:rsid w:val="2393048F"/>
    <w:rsid w:val="239E3C8F"/>
    <w:rsid w:val="23A06B4E"/>
    <w:rsid w:val="23A40CCF"/>
    <w:rsid w:val="23F61F1B"/>
    <w:rsid w:val="23FA1D01"/>
    <w:rsid w:val="2404601A"/>
    <w:rsid w:val="24214B16"/>
    <w:rsid w:val="242404CF"/>
    <w:rsid w:val="242713BB"/>
    <w:rsid w:val="24351B4F"/>
    <w:rsid w:val="243647BB"/>
    <w:rsid w:val="244F716C"/>
    <w:rsid w:val="24501237"/>
    <w:rsid w:val="24576A62"/>
    <w:rsid w:val="245E385D"/>
    <w:rsid w:val="246E76BE"/>
    <w:rsid w:val="24725231"/>
    <w:rsid w:val="24762507"/>
    <w:rsid w:val="248219BA"/>
    <w:rsid w:val="24863B93"/>
    <w:rsid w:val="248A0B9C"/>
    <w:rsid w:val="24975612"/>
    <w:rsid w:val="249E3719"/>
    <w:rsid w:val="24A2659E"/>
    <w:rsid w:val="24B3373A"/>
    <w:rsid w:val="24B346B5"/>
    <w:rsid w:val="24B606B7"/>
    <w:rsid w:val="24D92A69"/>
    <w:rsid w:val="24EC3BCA"/>
    <w:rsid w:val="24EC4ADF"/>
    <w:rsid w:val="24EF6448"/>
    <w:rsid w:val="24F71B8F"/>
    <w:rsid w:val="24F92CDE"/>
    <w:rsid w:val="2509234F"/>
    <w:rsid w:val="250C0B5D"/>
    <w:rsid w:val="25130959"/>
    <w:rsid w:val="25252C8E"/>
    <w:rsid w:val="25335BFF"/>
    <w:rsid w:val="25353A77"/>
    <w:rsid w:val="253D4E51"/>
    <w:rsid w:val="25462DA6"/>
    <w:rsid w:val="25482946"/>
    <w:rsid w:val="25893EFE"/>
    <w:rsid w:val="258A1AB3"/>
    <w:rsid w:val="25B35E6A"/>
    <w:rsid w:val="25BB0481"/>
    <w:rsid w:val="25BE6749"/>
    <w:rsid w:val="25DE0185"/>
    <w:rsid w:val="25E04003"/>
    <w:rsid w:val="25EB6DBF"/>
    <w:rsid w:val="25EE6875"/>
    <w:rsid w:val="26056FD7"/>
    <w:rsid w:val="260C334C"/>
    <w:rsid w:val="26164A17"/>
    <w:rsid w:val="26276BC7"/>
    <w:rsid w:val="262A76BD"/>
    <w:rsid w:val="26412189"/>
    <w:rsid w:val="264938E7"/>
    <w:rsid w:val="26517452"/>
    <w:rsid w:val="26566E1C"/>
    <w:rsid w:val="266013CD"/>
    <w:rsid w:val="2679079E"/>
    <w:rsid w:val="26805F58"/>
    <w:rsid w:val="268120E0"/>
    <w:rsid w:val="268B4EFD"/>
    <w:rsid w:val="269C0839"/>
    <w:rsid w:val="26A10A64"/>
    <w:rsid w:val="26A24282"/>
    <w:rsid w:val="26BB6790"/>
    <w:rsid w:val="26BF3C79"/>
    <w:rsid w:val="26C4287D"/>
    <w:rsid w:val="26C84C3F"/>
    <w:rsid w:val="26CA39FA"/>
    <w:rsid w:val="26D85E33"/>
    <w:rsid w:val="26DB2072"/>
    <w:rsid w:val="270B4A30"/>
    <w:rsid w:val="270F1235"/>
    <w:rsid w:val="27154206"/>
    <w:rsid w:val="27171830"/>
    <w:rsid w:val="271D238B"/>
    <w:rsid w:val="272A62FD"/>
    <w:rsid w:val="273460AC"/>
    <w:rsid w:val="2737495D"/>
    <w:rsid w:val="27456A02"/>
    <w:rsid w:val="274E64D1"/>
    <w:rsid w:val="276205CD"/>
    <w:rsid w:val="277C6B33"/>
    <w:rsid w:val="27862FAB"/>
    <w:rsid w:val="278F67DD"/>
    <w:rsid w:val="279137A0"/>
    <w:rsid w:val="27B31F91"/>
    <w:rsid w:val="27B33E3F"/>
    <w:rsid w:val="27B778B7"/>
    <w:rsid w:val="27BF0D59"/>
    <w:rsid w:val="27CE4805"/>
    <w:rsid w:val="27D831E9"/>
    <w:rsid w:val="27DC01C9"/>
    <w:rsid w:val="27DF64F1"/>
    <w:rsid w:val="27E53287"/>
    <w:rsid w:val="27E8590F"/>
    <w:rsid w:val="27EA6D62"/>
    <w:rsid w:val="280A737B"/>
    <w:rsid w:val="28151DED"/>
    <w:rsid w:val="28300784"/>
    <w:rsid w:val="28316877"/>
    <w:rsid w:val="283F2A39"/>
    <w:rsid w:val="28630E79"/>
    <w:rsid w:val="28660101"/>
    <w:rsid w:val="286E6DB7"/>
    <w:rsid w:val="289E6725"/>
    <w:rsid w:val="28BC39FA"/>
    <w:rsid w:val="28C01B18"/>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38BD"/>
    <w:rsid w:val="299E7A8C"/>
    <w:rsid w:val="29BF36D6"/>
    <w:rsid w:val="29C52E87"/>
    <w:rsid w:val="29D9317B"/>
    <w:rsid w:val="29EC161D"/>
    <w:rsid w:val="29F04EAF"/>
    <w:rsid w:val="29F116D0"/>
    <w:rsid w:val="29F2638F"/>
    <w:rsid w:val="2A0241CA"/>
    <w:rsid w:val="2A0777DB"/>
    <w:rsid w:val="2A1074D9"/>
    <w:rsid w:val="2A136762"/>
    <w:rsid w:val="2A16459C"/>
    <w:rsid w:val="2A1E7E82"/>
    <w:rsid w:val="2A7D5C08"/>
    <w:rsid w:val="2A826CAC"/>
    <w:rsid w:val="2A832C81"/>
    <w:rsid w:val="2A837A08"/>
    <w:rsid w:val="2A865621"/>
    <w:rsid w:val="2A90033E"/>
    <w:rsid w:val="2AA47786"/>
    <w:rsid w:val="2AAA19F3"/>
    <w:rsid w:val="2AAD65EE"/>
    <w:rsid w:val="2AB23403"/>
    <w:rsid w:val="2AC37547"/>
    <w:rsid w:val="2AC77380"/>
    <w:rsid w:val="2ACE32F5"/>
    <w:rsid w:val="2ADD6AFD"/>
    <w:rsid w:val="2ADE6550"/>
    <w:rsid w:val="2AE0413B"/>
    <w:rsid w:val="2AEA0CBC"/>
    <w:rsid w:val="2AF134CE"/>
    <w:rsid w:val="2AFE0D9C"/>
    <w:rsid w:val="2B2E0309"/>
    <w:rsid w:val="2B422946"/>
    <w:rsid w:val="2B54055B"/>
    <w:rsid w:val="2B5B34DC"/>
    <w:rsid w:val="2B6D12EE"/>
    <w:rsid w:val="2B76579E"/>
    <w:rsid w:val="2B793021"/>
    <w:rsid w:val="2B7973CB"/>
    <w:rsid w:val="2B831E93"/>
    <w:rsid w:val="2B885C3B"/>
    <w:rsid w:val="2B964DED"/>
    <w:rsid w:val="2B9B3546"/>
    <w:rsid w:val="2BA57D96"/>
    <w:rsid w:val="2BAE29A1"/>
    <w:rsid w:val="2BBA1460"/>
    <w:rsid w:val="2BBE438D"/>
    <w:rsid w:val="2BD315B0"/>
    <w:rsid w:val="2BE373EE"/>
    <w:rsid w:val="2BFC3156"/>
    <w:rsid w:val="2C0A73E9"/>
    <w:rsid w:val="2C295EB9"/>
    <w:rsid w:val="2C35729B"/>
    <w:rsid w:val="2C4628DA"/>
    <w:rsid w:val="2C555D92"/>
    <w:rsid w:val="2C575DDE"/>
    <w:rsid w:val="2C622710"/>
    <w:rsid w:val="2C734CA0"/>
    <w:rsid w:val="2C7A1A31"/>
    <w:rsid w:val="2C7C7D79"/>
    <w:rsid w:val="2C83115A"/>
    <w:rsid w:val="2C8B517A"/>
    <w:rsid w:val="2C9466E2"/>
    <w:rsid w:val="2C9E7CD8"/>
    <w:rsid w:val="2CA75A74"/>
    <w:rsid w:val="2CAF6B04"/>
    <w:rsid w:val="2CB0279E"/>
    <w:rsid w:val="2CD12AE5"/>
    <w:rsid w:val="2D1352C4"/>
    <w:rsid w:val="2D1E41EB"/>
    <w:rsid w:val="2D267C9A"/>
    <w:rsid w:val="2D310CA2"/>
    <w:rsid w:val="2D373D61"/>
    <w:rsid w:val="2D3A323B"/>
    <w:rsid w:val="2D4B55E5"/>
    <w:rsid w:val="2D4C0E6E"/>
    <w:rsid w:val="2D53589F"/>
    <w:rsid w:val="2D5E4035"/>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2B63FE"/>
    <w:rsid w:val="2E2E16A7"/>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C2ED0"/>
    <w:rsid w:val="2F0F048D"/>
    <w:rsid w:val="2F140F9B"/>
    <w:rsid w:val="2F2B5ABF"/>
    <w:rsid w:val="2F2E604D"/>
    <w:rsid w:val="2F417886"/>
    <w:rsid w:val="2F5D2DA3"/>
    <w:rsid w:val="2F675A9B"/>
    <w:rsid w:val="2F882E85"/>
    <w:rsid w:val="2F9A7F4A"/>
    <w:rsid w:val="2FB63290"/>
    <w:rsid w:val="2FC733B8"/>
    <w:rsid w:val="2FCA4F20"/>
    <w:rsid w:val="300C4C70"/>
    <w:rsid w:val="30291A13"/>
    <w:rsid w:val="303371BB"/>
    <w:rsid w:val="3044399D"/>
    <w:rsid w:val="30487E8C"/>
    <w:rsid w:val="305868C6"/>
    <w:rsid w:val="305B1097"/>
    <w:rsid w:val="306445C1"/>
    <w:rsid w:val="30695E81"/>
    <w:rsid w:val="306F3DBA"/>
    <w:rsid w:val="307F14D6"/>
    <w:rsid w:val="308640A9"/>
    <w:rsid w:val="30896C6B"/>
    <w:rsid w:val="309E4CFC"/>
    <w:rsid w:val="30C61AC5"/>
    <w:rsid w:val="30D0377D"/>
    <w:rsid w:val="30D1717F"/>
    <w:rsid w:val="30D2261F"/>
    <w:rsid w:val="30DE0226"/>
    <w:rsid w:val="30F50A2A"/>
    <w:rsid w:val="31007D5E"/>
    <w:rsid w:val="310427FF"/>
    <w:rsid w:val="31115223"/>
    <w:rsid w:val="3112044C"/>
    <w:rsid w:val="312440E9"/>
    <w:rsid w:val="31263645"/>
    <w:rsid w:val="312772AE"/>
    <w:rsid w:val="312F0667"/>
    <w:rsid w:val="31442CD4"/>
    <w:rsid w:val="31445B9B"/>
    <w:rsid w:val="314A653C"/>
    <w:rsid w:val="314C64DA"/>
    <w:rsid w:val="316B13D5"/>
    <w:rsid w:val="31720F1D"/>
    <w:rsid w:val="31745B98"/>
    <w:rsid w:val="317A7F18"/>
    <w:rsid w:val="317E525C"/>
    <w:rsid w:val="31837E97"/>
    <w:rsid w:val="319951C3"/>
    <w:rsid w:val="31B347D1"/>
    <w:rsid w:val="31BF03E5"/>
    <w:rsid w:val="31CB03B0"/>
    <w:rsid w:val="31CE29FE"/>
    <w:rsid w:val="31E4153A"/>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A4B0B"/>
    <w:rsid w:val="329119F4"/>
    <w:rsid w:val="32B13765"/>
    <w:rsid w:val="32CA65F9"/>
    <w:rsid w:val="32D942C8"/>
    <w:rsid w:val="33054854"/>
    <w:rsid w:val="33064DC6"/>
    <w:rsid w:val="330844B4"/>
    <w:rsid w:val="330A16FB"/>
    <w:rsid w:val="33141FF7"/>
    <w:rsid w:val="331B0364"/>
    <w:rsid w:val="333B776E"/>
    <w:rsid w:val="333E0092"/>
    <w:rsid w:val="33482976"/>
    <w:rsid w:val="33506C9F"/>
    <w:rsid w:val="3360334C"/>
    <w:rsid w:val="33742E43"/>
    <w:rsid w:val="33775E05"/>
    <w:rsid w:val="337A0512"/>
    <w:rsid w:val="338574F9"/>
    <w:rsid w:val="338F55A8"/>
    <w:rsid w:val="33A078AB"/>
    <w:rsid w:val="33A222F8"/>
    <w:rsid w:val="33B145B5"/>
    <w:rsid w:val="33B26AB4"/>
    <w:rsid w:val="33B85C62"/>
    <w:rsid w:val="33B90357"/>
    <w:rsid w:val="33C3614F"/>
    <w:rsid w:val="33D62B96"/>
    <w:rsid w:val="33E32DB1"/>
    <w:rsid w:val="33F14691"/>
    <w:rsid w:val="33FF7460"/>
    <w:rsid w:val="344127C5"/>
    <w:rsid w:val="34423581"/>
    <w:rsid w:val="34526E6E"/>
    <w:rsid w:val="34563647"/>
    <w:rsid w:val="345B1895"/>
    <w:rsid w:val="3463085A"/>
    <w:rsid w:val="3485590E"/>
    <w:rsid w:val="348744C2"/>
    <w:rsid w:val="3494430D"/>
    <w:rsid w:val="34946C2E"/>
    <w:rsid w:val="34A24AD6"/>
    <w:rsid w:val="34BA1AF2"/>
    <w:rsid w:val="34BA788F"/>
    <w:rsid w:val="34C04708"/>
    <w:rsid w:val="34C967AE"/>
    <w:rsid w:val="34D46D17"/>
    <w:rsid w:val="34FB2B80"/>
    <w:rsid w:val="34FD5844"/>
    <w:rsid w:val="35202182"/>
    <w:rsid w:val="35280DED"/>
    <w:rsid w:val="35463167"/>
    <w:rsid w:val="35665ADB"/>
    <w:rsid w:val="35770BA6"/>
    <w:rsid w:val="35816EB9"/>
    <w:rsid w:val="35821E3D"/>
    <w:rsid w:val="359F5261"/>
    <w:rsid w:val="35B35F81"/>
    <w:rsid w:val="35C2434B"/>
    <w:rsid w:val="35CA5DCC"/>
    <w:rsid w:val="35F41A2F"/>
    <w:rsid w:val="35F421D8"/>
    <w:rsid w:val="35FE7215"/>
    <w:rsid w:val="35FF2DF2"/>
    <w:rsid w:val="36000F59"/>
    <w:rsid w:val="3600703E"/>
    <w:rsid w:val="360A28F0"/>
    <w:rsid w:val="360A456E"/>
    <w:rsid w:val="360B232F"/>
    <w:rsid w:val="361D59BA"/>
    <w:rsid w:val="36247CCA"/>
    <w:rsid w:val="36280FB0"/>
    <w:rsid w:val="36400759"/>
    <w:rsid w:val="364225B8"/>
    <w:rsid w:val="364B4F18"/>
    <w:rsid w:val="364E6ED2"/>
    <w:rsid w:val="36520E31"/>
    <w:rsid w:val="36544E83"/>
    <w:rsid w:val="36601F32"/>
    <w:rsid w:val="367B06EC"/>
    <w:rsid w:val="368400A0"/>
    <w:rsid w:val="368B76C7"/>
    <w:rsid w:val="36A57135"/>
    <w:rsid w:val="36AF0D32"/>
    <w:rsid w:val="36C5766F"/>
    <w:rsid w:val="36CC1D0A"/>
    <w:rsid w:val="36D41560"/>
    <w:rsid w:val="36D704F3"/>
    <w:rsid w:val="36E90250"/>
    <w:rsid w:val="36ED465C"/>
    <w:rsid w:val="36F13515"/>
    <w:rsid w:val="370058B6"/>
    <w:rsid w:val="37066B46"/>
    <w:rsid w:val="37131885"/>
    <w:rsid w:val="37146912"/>
    <w:rsid w:val="372D3B8B"/>
    <w:rsid w:val="372E53E1"/>
    <w:rsid w:val="374604DA"/>
    <w:rsid w:val="37556EFB"/>
    <w:rsid w:val="37634C0D"/>
    <w:rsid w:val="37635AA2"/>
    <w:rsid w:val="376D038A"/>
    <w:rsid w:val="378D4EC4"/>
    <w:rsid w:val="379127D4"/>
    <w:rsid w:val="3794359E"/>
    <w:rsid w:val="3795413E"/>
    <w:rsid w:val="37B01FC8"/>
    <w:rsid w:val="37BE275C"/>
    <w:rsid w:val="37CC087E"/>
    <w:rsid w:val="37F7211A"/>
    <w:rsid w:val="37FB3BA9"/>
    <w:rsid w:val="37FD2BB1"/>
    <w:rsid w:val="37FE1821"/>
    <w:rsid w:val="38115BCA"/>
    <w:rsid w:val="381D63E4"/>
    <w:rsid w:val="383C048E"/>
    <w:rsid w:val="38454C9B"/>
    <w:rsid w:val="38521CF7"/>
    <w:rsid w:val="385A5B31"/>
    <w:rsid w:val="385A68D2"/>
    <w:rsid w:val="388116C0"/>
    <w:rsid w:val="388C714F"/>
    <w:rsid w:val="38946C1E"/>
    <w:rsid w:val="38966DB9"/>
    <w:rsid w:val="38B20894"/>
    <w:rsid w:val="38C2768F"/>
    <w:rsid w:val="38E37461"/>
    <w:rsid w:val="38F418EC"/>
    <w:rsid w:val="39105A0A"/>
    <w:rsid w:val="39191093"/>
    <w:rsid w:val="391B76F1"/>
    <w:rsid w:val="391E2CD2"/>
    <w:rsid w:val="392245B5"/>
    <w:rsid w:val="39235BBC"/>
    <w:rsid w:val="393D721A"/>
    <w:rsid w:val="393F0F59"/>
    <w:rsid w:val="394A6B61"/>
    <w:rsid w:val="394F360B"/>
    <w:rsid w:val="39511E95"/>
    <w:rsid w:val="395F65F0"/>
    <w:rsid w:val="39825EF1"/>
    <w:rsid w:val="398636A1"/>
    <w:rsid w:val="398642C1"/>
    <w:rsid w:val="39897949"/>
    <w:rsid w:val="398D1EFD"/>
    <w:rsid w:val="398D694C"/>
    <w:rsid w:val="398D7945"/>
    <w:rsid w:val="399D7118"/>
    <w:rsid w:val="39BC5220"/>
    <w:rsid w:val="39D879D3"/>
    <w:rsid w:val="39DA1EF5"/>
    <w:rsid w:val="39DB3A6E"/>
    <w:rsid w:val="39E245E4"/>
    <w:rsid w:val="39E84CC6"/>
    <w:rsid w:val="39FC179E"/>
    <w:rsid w:val="3A014E17"/>
    <w:rsid w:val="3A066018"/>
    <w:rsid w:val="3A210C10"/>
    <w:rsid w:val="3A214CC6"/>
    <w:rsid w:val="3A27547C"/>
    <w:rsid w:val="3A3871E3"/>
    <w:rsid w:val="3A3C3C45"/>
    <w:rsid w:val="3A641609"/>
    <w:rsid w:val="3A663EB0"/>
    <w:rsid w:val="3A87071A"/>
    <w:rsid w:val="3A9B7C92"/>
    <w:rsid w:val="3AAC76F2"/>
    <w:rsid w:val="3AAD5CAC"/>
    <w:rsid w:val="3AAF045C"/>
    <w:rsid w:val="3AC53317"/>
    <w:rsid w:val="3AD8079E"/>
    <w:rsid w:val="3AF05E33"/>
    <w:rsid w:val="3AF1344F"/>
    <w:rsid w:val="3B1C5B19"/>
    <w:rsid w:val="3B2301BB"/>
    <w:rsid w:val="3B294F65"/>
    <w:rsid w:val="3B303144"/>
    <w:rsid w:val="3B362C4D"/>
    <w:rsid w:val="3B4D5E29"/>
    <w:rsid w:val="3B596EC3"/>
    <w:rsid w:val="3B8631C4"/>
    <w:rsid w:val="3B8A1A7E"/>
    <w:rsid w:val="3B937719"/>
    <w:rsid w:val="3B942B73"/>
    <w:rsid w:val="3B9674D7"/>
    <w:rsid w:val="3BA20424"/>
    <w:rsid w:val="3BB335AC"/>
    <w:rsid w:val="3BC165FE"/>
    <w:rsid w:val="3BD3067E"/>
    <w:rsid w:val="3BD53AB5"/>
    <w:rsid w:val="3BDF0A62"/>
    <w:rsid w:val="3BEF40B2"/>
    <w:rsid w:val="3BF363D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175178"/>
    <w:rsid w:val="3D277613"/>
    <w:rsid w:val="3D2F2FAD"/>
    <w:rsid w:val="3D3C5369"/>
    <w:rsid w:val="3D4E395C"/>
    <w:rsid w:val="3D66205D"/>
    <w:rsid w:val="3D6D5EA9"/>
    <w:rsid w:val="3D7004A1"/>
    <w:rsid w:val="3D7849C8"/>
    <w:rsid w:val="3D79071F"/>
    <w:rsid w:val="3DA54021"/>
    <w:rsid w:val="3DC60482"/>
    <w:rsid w:val="3DD171A7"/>
    <w:rsid w:val="3DDC1724"/>
    <w:rsid w:val="3DEC1B94"/>
    <w:rsid w:val="3E127B19"/>
    <w:rsid w:val="3E1A30A6"/>
    <w:rsid w:val="3E2653DC"/>
    <w:rsid w:val="3E2B50D7"/>
    <w:rsid w:val="3E327F30"/>
    <w:rsid w:val="3E3758F3"/>
    <w:rsid w:val="3E41291F"/>
    <w:rsid w:val="3E4754A6"/>
    <w:rsid w:val="3E6926D3"/>
    <w:rsid w:val="3E786B14"/>
    <w:rsid w:val="3E860F10"/>
    <w:rsid w:val="3E913ADC"/>
    <w:rsid w:val="3E922B85"/>
    <w:rsid w:val="3E922D59"/>
    <w:rsid w:val="3E9A15EB"/>
    <w:rsid w:val="3EA3700C"/>
    <w:rsid w:val="3EA411EE"/>
    <w:rsid w:val="3EA452C3"/>
    <w:rsid w:val="3EB02205"/>
    <w:rsid w:val="3EB47903"/>
    <w:rsid w:val="3ED219A5"/>
    <w:rsid w:val="3ED7637C"/>
    <w:rsid w:val="3EDA3A1A"/>
    <w:rsid w:val="3EDF0CF3"/>
    <w:rsid w:val="3EE8557E"/>
    <w:rsid w:val="3EED740D"/>
    <w:rsid w:val="3F1630F2"/>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AA401E"/>
    <w:rsid w:val="3FB1447F"/>
    <w:rsid w:val="3FC35AFC"/>
    <w:rsid w:val="3FC41983"/>
    <w:rsid w:val="3FD1414D"/>
    <w:rsid w:val="3FD700C5"/>
    <w:rsid w:val="3FD81218"/>
    <w:rsid w:val="3FDF4343"/>
    <w:rsid w:val="3FE0724A"/>
    <w:rsid w:val="3FF35E75"/>
    <w:rsid w:val="400406D1"/>
    <w:rsid w:val="400479C3"/>
    <w:rsid w:val="40404B79"/>
    <w:rsid w:val="404358BE"/>
    <w:rsid w:val="40504A5A"/>
    <w:rsid w:val="40797278"/>
    <w:rsid w:val="408E3720"/>
    <w:rsid w:val="40912007"/>
    <w:rsid w:val="409672FB"/>
    <w:rsid w:val="409B357D"/>
    <w:rsid w:val="409F5F96"/>
    <w:rsid w:val="40B43BF9"/>
    <w:rsid w:val="40BC2DF7"/>
    <w:rsid w:val="40CE14CF"/>
    <w:rsid w:val="40CF6877"/>
    <w:rsid w:val="40D814C3"/>
    <w:rsid w:val="40E17710"/>
    <w:rsid w:val="40E86C9E"/>
    <w:rsid w:val="40F347AB"/>
    <w:rsid w:val="40F83F72"/>
    <w:rsid w:val="411713CA"/>
    <w:rsid w:val="411A6663"/>
    <w:rsid w:val="412D5086"/>
    <w:rsid w:val="41411F23"/>
    <w:rsid w:val="41490BDC"/>
    <w:rsid w:val="414B2D54"/>
    <w:rsid w:val="416E59E3"/>
    <w:rsid w:val="417C4EC1"/>
    <w:rsid w:val="41904377"/>
    <w:rsid w:val="41A664B7"/>
    <w:rsid w:val="41B601E7"/>
    <w:rsid w:val="41CF3C25"/>
    <w:rsid w:val="41DF5CBF"/>
    <w:rsid w:val="41E14722"/>
    <w:rsid w:val="41E83086"/>
    <w:rsid w:val="41EB174A"/>
    <w:rsid w:val="42170741"/>
    <w:rsid w:val="42177507"/>
    <w:rsid w:val="42204CE4"/>
    <w:rsid w:val="42226713"/>
    <w:rsid w:val="422B2BA1"/>
    <w:rsid w:val="4231785A"/>
    <w:rsid w:val="4235332E"/>
    <w:rsid w:val="42584818"/>
    <w:rsid w:val="425D1AEE"/>
    <w:rsid w:val="427E48C1"/>
    <w:rsid w:val="42926048"/>
    <w:rsid w:val="429819E4"/>
    <w:rsid w:val="429B6E22"/>
    <w:rsid w:val="429C6B61"/>
    <w:rsid w:val="42B34A1F"/>
    <w:rsid w:val="42B86E9B"/>
    <w:rsid w:val="42BD444E"/>
    <w:rsid w:val="42BF4C55"/>
    <w:rsid w:val="42C03D90"/>
    <w:rsid w:val="42C845D8"/>
    <w:rsid w:val="42DC40D1"/>
    <w:rsid w:val="42F91034"/>
    <w:rsid w:val="43262E27"/>
    <w:rsid w:val="432A3936"/>
    <w:rsid w:val="434841F7"/>
    <w:rsid w:val="434D6B99"/>
    <w:rsid w:val="43524A05"/>
    <w:rsid w:val="437F792B"/>
    <w:rsid w:val="43871CB4"/>
    <w:rsid w:val="43A63D98"/>
    <w:rsid w:val="43AB188A"/>
    <w:rsid w:val="43B04917"/>
    <w:rsid w:val="43BE214E"/>
    <w:rsid w:val="43E92A8F"/>
    <w:rsid w:val="43ED298C"/>
    <w:rsid w:val="43EF2991"/>
    <w:rsid w:val="43F4696E"/>
    <w:rsid w:val="44165D6C"/>
    <w:rsid w:val="442D4378"/>
    <w:rsid w:val="443B708A"/>
    <w:rsid w:val="4455118A"/>
    <w:rsid w:val="44597BEE"/>
    <w:rsid w:val="447A4753"/>
    <w:rsid w:val="44A70E24"/>
    <w:rsid w:val="44CD05ED"/>
    <w:rsid w:val="44DD300E"/>
    <w:rsid w:val="44E2656D"/>
    <w:rsid w:val="44EC169C"/>
    <w:rsid w:val="44F11452"/>
    <w:rsid w:val="44FF451E"/>
    <w:rsid w:val="45177BA4"/>
    <w:rsid w:val="451C551F"/>
    <w:rsid w:val="451F3CCA"/>
    <w:rsid w:val="45341196"/>
    <w:rsid w:val="45492E86"/>
    <w:rsid w:val="45493A4F"/>
    <w:rsid w:val="454E4188"/>
    <w:rsid w:val="45553167"/>
    <w:rsid w:val="455B7427"/>
    <w:rsid w:val="45727755"/>
    <w:rsid w:val="45965757"/>
    <w:rsid w:val="45976268"/>
    <w:rsid w:val="45BA5028"/>
    <w:rsid w:val="45CA6C10"/>
    <w:rsid w:val="45CE5804"/>
    <w:rsid w:val="45D01294"/>
    <w:rsid w:val="45DA4126"/>
    <w:rsid w:val="45DC1DF8"/>
    <w:rsid w:val="45E03532"/>
    <w:rsid w:val="45FB48CF"/>
    <w:rsid w:val="46246925"/>
    <w:rsid w:val="462B5D44"/>
    <w:rsid w:val="462D5957"/>
    <w:rsid w:val="462E6F30"/>
    <w:rsid w:val="463354F6"/>
    <w:rsid w:val="463546D0"/>
    <w:rsid w:val="465346A2"/>
    <w:rsid w:val="46586687"/>
    <w:rsid w:val="466309D9"/>
    <w:rsid w:val="466A2150"/>
    <w:rsid w:val="466D3B0A"/>
    <w:rsid w:val="466E793A"/>
    <w:rsid w:val="46844FFB"/>
    <w:rsid w:val="46864313"/>
    <w:rsid w:val="468C1039"/>
    <w:rsid w:val="468C15DE"/>
    <w:rsid w:val="468F344C"/>
    <w:rsid w:val="46CE17A4"/>
    <w:rsid w:val="46D81406"/>
    <w:rsid w:val="46D906C6"/>
    <w:rsid w:val="46EE3AEB"/>
    <w:rsid w:val="47050296"/>
    <w:rsid w:val="470A5361"/>
    <w:rsid w:val="47180E24"/>
    <w:rsid w:val="471866FB"/>
    <w:rsid w:val="471C076F"/>
    <w:rsid w:val="472022E1"/>
    <w:rsid w:val="472406DF"/>
    <w:rsid w:val="472D3683"/>
    <w:rsid w:val="473B416A"/>
    <w:rsid w:val="473B7E9E"/>
    <w:rsid w:val="47403AF2"/>
    <w:rsid w:val="47453C8F"/>
    <w:rsid w:val="4748211F"/>
    <w:rsid w:val="475B3378"/>
    <w:rsid w:val="475C5C59"/>
    <w:rsid w:val="47632541"/>
    <w:rsid w:val="4766347D"/>
    <w:rsid w:val="47715F93"/>
    <w:rsid w:val="478D4609"/>
    <w:rsid w:val="478D6A12"/>
    <w:rsid w:val="47962309"/>
    <w:rsid w:val="479C610A"/>
    <w:rsid w:val="47A32AF0"/>
    <w:rsid w:val="47AF032C"/>
    <w:rsid w:val="47BA0CEF"/>
    <w:rsid w:val="47E24056"/>
    <w:rsid w:val="47EA4D37"/>
    <w:rsid w:val="47EC146A"/>
    <w:rsid w:val="47FF6106"/>
    <w:rsid w:val="481D74A2"/>
    <w:rsid w:val="481E4667"/>
    <w:rsid w:val="4822672A"/>
    <w:rsid w:val="48334280"/>
    <w:rsid w:val="48382E4F"/>
    <w:rsid w:val="48386782"/>
    <w:rsid w:val="4839372F"/>
    <w:rsid w:val="48406A1E"/>
    <w:rsid w:val="48455013"/>
    <w:rsid w:val="484726A4"/>
    <w:rsid w:val="484B7369"/>
    <w:rsid w:val="487274B4"/>
    <w:rsid w:val="487C2EB0"/>
    <w:rsid w:val="487F714C"/>
    <w:rsid w:val="48811612"/>
    <w:rsid w:val="488818E0"/>
    <w:rsid w:val="48AE426D"/>
    <w:rsid w:val="48B45B37"/>
    <w:rsid w:val="48E06989"/>
    <w:rsid w:val="48E2763C"/>
    <w:rsid w:val="48E92C88"/>
    <w:rsid w:val="48EB1D85"/>
    <w:rsid w:val="48FC51E1"/>
    <w:rsid w:val="49282A41"/>
    <w:rsid w:val="494C141C"/>
    <w:rsid w:val="4954359E"/>
    <w:rsid w:val="49605AC3"/>
    <w:rsid w:val="49821D8D"/>
    <w:rsid w:val="4987544D"/>
    <w:rsid w:val="498C49B3"/>
    <w:rsid w:val="49995BD6"/>
    <w:rsid w:val="499A7FC9"/>
    <w:rsid w:val="49AE3D92"/>
    <w:rsid w:val="49BF2772"/>
    <w:rsid w:val="49C128B7"/>
    <w:rsid w:val="49C15E4E"/>
    <w:rsid w:val="49C47EBE"/>
    <w:rsid w:val="49C55CAD"/>
    <w:rsid w:val="49CA225D"/>
    <w:rsid w:val="49D270B8"/>
    <w:rsid w:val="4A1203E3"/>
    <w:rsid w:val="4A3509A5"/>
    <w:rsid w:val="4A3C31F7"/>
    <w:rsid w:val="4A4A4E86"/>
    <w:rsid w:val="4A863FBD"/>
    <w:rsid w:val="4A8674C9"/>
    <w:rsid w:val="4A892CB4"/>
    <w:rsid w:val="4A9657FA"/>
    <w:rsid w:val="4AA927DF"/>
    <w:rsid w:val="4AB450E7"/>
    <w:rsid w:val="4ABD2CBE"/>
    <w:rsid w:val="4ACA49FA"/>
    <w:rsid w:val="4ACC15C6"/>
    <w:rsid w:val="4ACC17F6"/>
    <w:rsid w:val="4AE8469B"/>
    <w:rsid w:val="4AED30D2"/>
    <w:rsid w:val="4AF05435"/>
    <w:rsid w:val="4AFE1C1B"/>
    <w:rsid w:val="4B503DE9"/>
    <w:rsid w:val="4B592E57"/>
    <w:rsid w:val="4B5E33E5"/>
    <w:rsid w:val="4B731311"/>
    <w:rsid w:val="4B9A2375"/>
    <w:rsid w:val="4BAD17E4"/>
    <w:rsid w:val="4BAF7B70"/>
    <w:rsid w:val="4C0D0455"/>
    <w:rsid w:val="4C1F5374"/>
    <w:rsid w:val="4C1F7A5B"/>
    <w:rsid w:val="4C4048FC"/>
    <w:rsid w:val="4C6C640D"/>
    <w:rsid w:val="4C722515"/>
    <w:rsid w:val="4C894A92"/>
    <w:rsid w:val="4C983FA4"/>
    <w:rsid w:val="4C9A5F96"/>
    <w:rsid w:val="4C9B7DE3"/>
    <w:rsid w:val="4C9F7E3C"/>
    <w:rsid w:val="4CA178A3"/>
    <w:rsid w:val="4CA9023C"/>
    <w:rsid w:val="4CB144C1"/>
    <w:rsid w:val="4CB3138C"/>
    <w:rsid w:val="4CBE1543"/>
    <w:rsid w:val="4CBE4760"/>
    <w:rsid w:val="4CCC2062"/>
    <w:rsid w:val="4CF30464"/>
    <w:rsid w:val="4CF86DA4"/>
    <w:rsid w:val="4CFB2CB0"/>
    <w:rsid w:val="4D020DA5"/>
    <w:rsid w:val="4D0D52CB"/>
    <w:rsid w:val="4D225AB9"/>
    <w:rsid w:val="4D2E312B"/>
    <w:rsid w:val="4D32348A"/>
    <w:rsid w:val="4D3E0B9C"/>
    <w:rsid w:val="4D566C49"/>
    <w:rsid w:val="4D6037A5"/>
    <w:rsid w:val="4D6A24D3"/>
    <w:rsid w:val="4D6B6587"/>
    <w:rsid w:val="4D743AA4"/>
    <w:rsid w:val="4D834946"/>
    <w:rsid w:val="4D993267"/>
    <w:rsid w:val="4DA1355F"/>
    <w:rsid w:val="4DA537BB"/>
    <w:rsid w:val="4DA53A8B"/>
    <w:rsid w:val="4DA62BFC"/>
    <w:rsid w:val="4DBB336E"/>
    <w:rsid w:val="4DBE6815"/>
    <w:rsid w:val="4DC16978"/>
    <w:rsid w:val="4DD81F1E"/>
    <w:rsid w:val="4DD92250"/>
    <w:rsid w:val="4DF67531"/>
    <w:rsid w:val="4DF9062B"/>
    <w:rsid w:val="4E014EF8"/>
    <w:rsid w:val="4E066E93"/>
    <w:rsid w:val="4E075658"/>
    <w:rsid w:val="4E0D6F7B"/>
    <w:rsid w:val="4E1D7E77"/>
    <w:rsid w:val="4E2126E6"/>
    <w:rsid w:val="4E236A05"/>
    <w:rsid w:val="4E51451A"/>
    <w:rsid w:val="4E7D60BC"/>
    <w:rsid w:val="4E91581D"/>
    <w:rsid w:val="4EDE397C"/>
    <w:rsid w:val="4EF614BA"/>
    <w:rsid w:val="4EF62402"/>
    <w:rsid w:val="4F087D26"/>
    <w:rsid w:val="4F35630A"/>
    <w:rsid w:val="4F362E18"/>
    <w:rsid w:val="4F497B36"/>
    <w:rsid w:val="4F513B54"/>
    <w:rsid w:val="4F540B41"/>
    <w:rsid w:val="4F547EAA"/>
    <w:rsid w:val="4F5A6E3D"/>
    <w:rsid w:val="4F815846"/>
    <w:rsid w:val="4F832885"/>
    <w:rsid w:val="4F9039FE"/>
    <w:rsid w:val="4FAA20BA"/>
    <w:rsid w:val="4FB5670E"/>
    <w:rsid w:val="4FBC0BE9"/>
    <w:rsid w:val="4FBE2BCB"/>
    <w:rsid w:val="4FE02223"/>
    <w:rsid w:val="500E6057"/>
    <w:rsid w:val="502072F3"/>
    <w:rsid w:val="5034536B"/>
    <w:rsid w:val="503D6956"/>
    <w:rsid w:val="50437224"/>
    <w:rsid w:val="50490678"/>
    <w:rsid w:val="505A512C"/>
    <w:rsid w:val="5089260D"/>
    <w:rsid w:val="50895295"/>
    <w:rsid w:val="5098572F"/>
    <w:rsid w:val="50A40755"/>
    <w:rsid w:val="50B906DF"/>
    <w:rsid w:val="50C7665C"/>
    <w:rsid w:val="50DD515E"/>
    <w:rsid w:val="50F018D3"/>
    <w:rsid w:val="50F47A17"/>
    <w:rsid w:val="51116C5C"/>
    <w:rsid w:val="511A6082"/>
    <w:rsid w:val="512A627B"/>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21A82"/>
    <w:rsid w:val="520878FD"/>
    <w:rsid w:val="520A15B6"/>
    <w:rsid w:val="520B147C"/>
    <w:rsid w:val="520B6D49"/>
    <w:rsid w:val="520F2ED4"/>
    <w:rsid w:val="521402BD"/>
    <w:rsid w:val="522B39FB"/>
    <w:rsid w:val="522D5E42"/>
    <w:rsid w:val="52391E5F"/>
    <w:rsid w:val="52414E5C"/>
    <w:rsid w:val="52463FBA"/>
    <w:rsid w:val="524A5D65"/>
    <w:rsid w:val="524C1BBF"/>
    <w:rsid w:val="52547268"/>
    <w:rsid w:val="529526FC"/>
    <w:rsid w:val="529C45E9"/>
    <w:rsid w:val="52A17AC6"/>
    <w:rsid w:val="52C04D72"/>
    <w:rsid w:val="52CA35B0"/>
    <w:rsid w:val="52D27A41"/>
    <w:rsid w:val="52DC5FDB"/>
    <w:rsid w:val="52DD15C5"/>
    <w:rsid w:val="52EE7DBE"/>
    <w:rsid w:val="52F63B4F"/>
    <w:rsid w:val="53082F2C"/>
    <w:rsid w:val="530E35EF"/>
    <w:rsid w:val="53131C59"/>
    <w:rsid w:val="53286C71"/>
    <w:rsid w:val="53345BA9"/>
    <w:rsid w:val="53396085"/>
    <w:rsid w:val="534A7EEE"/>
    <w:rsid w:val="53670639"/>
    <w:rsid w:val="53981FA0"/>
    <w:rsid w:val="53B84C8E"/>
    <w:rsid w:val="53BD274E"/>
    <w:rsid w:val="53D54E37"/>
    <w:rsid w:val="53E65701"/>
    <w:rsid w:val="53F52A77"/>
    <w:rsid w:val="53FD5774"/>
    <w:rsid w:val="5414272D"/>
    <w:rsid w:val="542E6AAF"/>
    <w:rsid w:val="543D68D9"/>
    <w:rsid w:val="54482B1B"/>
    <w:rsid w:val="54594A5E"/>
    <w:rsid w:val="546F7A15"/>
    <w:rsid w:val="54735D85"/>
    <w:rsid w:val="54871B54"/>
    <w:rsid w:val="54874106"/>
    <w:rsid w:val="549605A3"/>
    <w:rsid w:val="549F3EDE"/>
    <w:rsid w:val="54AA3CD9"/>
    <w:rsid w:val="54B76615"/>
    <w:rsid w:val="54C96C83"/>
    <w:rsid w:val="54D31B63"/>
    <w:rsid w:val="54EA3219"/>
    <w:rsid w:val="550118A5"/>
    <w:rsid w:val="5517071E"/>
    <w:rsid w:val="554860F4"/>
    <w:rsid w:val="555111B5"/>
    <w:rsid w:val="55582F0D"/>
    <w:rsid w:val="555E6BA7"/>
    <w:rsid w:val="556E2ECA"/>
    <w:rsid w:val="557A16A0"/>
    <w:rsid w:val="559719B0"/>
    <w:rsid w:val="559A22C4"/>
    <w:rsid w:val="559C2F3F"/>
    <w:rsid w:val="559F228F"/>
    <w:rsid w:val="55A67EE8"/>
    <w:rsid w:val="55B54251"/>
    <w:rsid w:val="55D00DC0"/>
    <w:rsid w:val="55E8090D"/>
    <w:rsid w:val="55ED318A"/>
    <w:rsid w:val="56060266"/>
    <w:rsid w:val="560C4016"/>
    <w:rsid w:val="561A16CF"/>
    <w:rsid w:val="562A1609"/>
    <w:rsid w:val="563F74A4"/>
    <w:rsid w:val="566B53D2"/>
    <w:rsid w:val="56715C12"/>
    <w:rsid w:val="567B1141"/>
    <w:rsid w:val="567B56A9"/>
    <w:rsid w:val="5681373E"/>
    <w:rsid w:val="56991451"/>
    <w:rsid w:val="569A3398"/>
    <w:rsid w:val="569D6C7E"/>
    <w:rsid w:val="56A7418C"/>
    <w:rsid w:val="56AD7471"/>
    <w:rsid w:val="56B37495"/>
    <w:rsid w:val="56B5403A"/>
    <w:rsid w:val="56EB3361"/>
    <w:rsid w:val="56F40954"/>
    <w:rsid w:val="56F72F30"/>
    <w:rsid w:val="570D256E"/>
    <w:rsid w:val="571635F3"/>
    <w:rsid w:val="57301450"/>
    <w:rsid w:val="573F6CF7"/>
    <w:rsid w:val="574D339C"/>
    <w:rsid w:val="5753468B"/>
    <w:rsid w:val="575B3101"/>
    <w:rsid w:val="575C2CCB"/>
    <w:rsid w:val="5760479D"/>
    <w:rsid w:val="576D43D6"/>
    <w:rsid w:val="5779650A"/>
    <w:rsid w:val="57827964"/>
    <w:rsid w:val="57A31384"/>
    <w:rsid w:val="57B11185"/>
    <w:rsid w:val="57BA33E6"/>
    <w:rsid w:val="57C451DA"/>
    <w:rsid w:val="57E12441"/>
    <w:rsid w:val="57E52AC8"/>
    <w:rsid w:val="57F25C54"/>
    <w:rsid w:val="58037259"/>
    <w:rsid w:val="580B1E0B"/>
    <w:rsid w:val="58164A86"/>
    <w:rsid w:val="58224F50"/>
    <w:rsid w:val="582E7015"/>
    <w:rsid w:val="584410CC"/>
    <w:rsid w:val="58547CEB"/>
    <w:rsid w:val="585712B7"/>
    <w:rsid w:val="58603614"/>
    <w:rsid w:val="58615E6E"/>
    <w:rsid w:val="58635793"/>
    <w:rsid w:val="586A36EE"/>
    <w:rsid w:val="58826B95"/>
    <w:rsid w:val="588C11D6"/>
    <w:rsid w:val="58C16B43"/>
    <w:rsid w:val="58D17534"/>
    <w:rsid w:val="58E30231"/>
    <w:rsid w:val="58EF47AD"/>
    <w:rsid w:val="59033141"/>
    <w:rsid w:val="591E103A"/>
    <w:rsid w:val="592A36F8"/>
    <w:rsid w:val="5930512A"/>
    <w:rsid w:val="594409C9"/>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2A0A"/>
    <w:rsid w:val="59E56E97"/>
    <w:rsid w:val="59EE0B0E"/>
    <w:rsid w:val="59EF52ED"/>
    <w:rsid w:val="59F378E0"/>
    <w:rsid w:val="5A03208B"/>
    <w:rsid w:val="5A11498E"/>
    <w:rsid w:val="5A1B27B8"/>
    <w:rsid w:val="5A392B8C"/>
    <w:rsid w:val="5A41505E"/>
    <w:rsid w:val="5A60385B"/>
    <w:rsid w:val="5A646B5B"/>
    <w:rsid w:val="5A796238"/>
    <w:rsid w:val="5AC608F3"/>
    <w:rsid w:val="5ACA2411"/>
    <w:rsid w:val="5AE31485"/>
    <w:rsid w:val="5AF626D8"/>
    <w:rsid w:val="5AF62900"/>
    <w:rsid w:val="5AFC40F3"/>
    <w:rsid w:val="5B053218"/>
    <w:rsid w:val="5B0D46E9"/>
    <w:rsid w:val="5B22062D"/>
    <w:rsid w:val="5B241C6D"/>
    <w:rsid w:val="5B2B355B"/>
    <w:rsid w:val="5B3E3090"/>
    <w:rsid w:val="5B413ED9"/>
    <w:rsid w:val="5B666F69"/>
    <w:rsid w:val="5B736DFC"/>
    <w:rsid w:val="5B74248A"/>
    <w:rsid w:val="5B7C3A7D"/>
    <w:rsid w:val="5B8675CA"/>
    <w:rsid w:val="5B8F0C2B"/>
    <w:rsid w:val="5BA652CD"/>
    <w:rsid w:val="5BDA1A02"/>
    <w:rsid w:val="5BDA3815"/>
    <w:rsid w:val="5C0A6081"/>
    <w:rsid w:val="5C100E26"/>
    <w:rsid w:val="5C1C1366"/>
    <w:rsid w:val="5C3106D1"/>
    <w:rsid w:val="5C4C3CC9"/>
    <w:rsid w:val="5C5C59BB"/>
    <w:rsid w:val="5C69536C"/>
    <w:rsid w:val="5C6A1E8C"/>
    <w:rsid w:val="5C6F3AA2"/>
    <w:rsid w:val="5C85298F"/>
    <w:rsid w:val="5CA565E2"/>
    <w:rsid w:val="5CDC5778"/>
    <w:rsid w:val="5CDC65F4"/>
    <w:rsid w:val="5CE70DB3"/>
    <w:rsid w:val="5CE943C9"/>
    <w:rsid w:val="5CF20C05"/>
    <w:rsid w:val="5CF21D7F"/>
    <w:rsid w:val="5CF617C9"/>
    <w:rsid w:val="5D015FA3"/>
    <w:rsid w:val="5D047EE8"/>
    <w:rsid w:val="5D110C61"/>
    <w:rsid w:val="5D126228"/>
    <w:rsid w:val="5D1949C1"/>
    <w:rsid w:val="5D1B0F43"/>
    <w:rsid w:val="5D1F3C0E"/>
    <w:rsid w:val="5D3734F1"/>
    <w:rsid w:val="5D3A42DC"/>
    <w:rsid w:val="5D423265"/>
    <w:rsid w:val="5D46020C"/>
    <w:rsid w:val="5D4A0C8B"/>
    <w:rsid w:val="5DA31640"/>
    <w:rsid w:val="5DCE771F"/>
    <w:rsid w:val="5DD3556C"/>
    <w:rsid w:val="5DD81E67"/>
    <w:rsid w:val="5DE6704B"/>
    <w:rsid w:val="5DEA5E1E"/>
    <w:rsid w:val="5DEC3B70"/>
    <w:rsid w:val="5DF84369"/>
    <w:rsid w:val="5DF92DCB"/>
    <w:rsid w:val="5E091FB5"/>
    <w:rsid w:val="5E0E0B57"/>
    <w:rsid w:val="5E177160"/>
    <w:rsid w:val="5E277D80"/>
    <w:rsid w:val="5E280CB5"/>
    <w:rsid w:val="5E2F1ECF"/>
    <w:rsid w:val="5E4130FC"/>
    <w:rsid w:val="5E447267"/>
    <w:rsid w:val="5E4A572D"/>
    <w:rsid w:val="5E5667A6"/>
    <w:rsid w:val="5E5C2FC2"/>
    <w:rsid w:val="5E676802"/>
    <w:rsid w:val="5E6C1E14"/>
    <w:rsid w:val="5E6C7C78"/>
    <w:rsid w:val="5E72699B"/>
    <w:rsid w:val="5E794082"/>
    <w:rsid w:val="5E815CED"/>
    <w:rsid w:val="5E887A26"/>
    <w:rsid w:val="5E8C28B6"/>
    <w:rsid w:val="5E8E2A3B"/>
    <w:rsid w:val="5E8E48D5"/>
    <w:rsid w:val="5EA35CFD"/>
    <w:rsid w:val="5EAC0CC5"/>
    <w:rsid w:val="5EAF07E9"/>
    <w:rsid w:val="5EB75E1B"/>
    <w:rsid w:val="5EC56393"/>
    <w:rsid w:val="5EF078DD"/>
    <w:rsid w:val="5EF62DCD"/>
    <w:rsid w:val="5EFB0071"/>
    <w:rsid w:val="5EFE34A1"/>
    <w:rsid w:val="5F173FD8"/>
    <w:rsid w:val="5F257412"/>
    <w:rsid w:val="5F3262F4"/>
    <w:rsid w:val="5F5C27E5"/>
    <w:rsid w:val="5F6938A8"/>
    <w:rsid w:val="5F6E2815"/>
    <w:rsid w:val="5F7C06D8"/>
    <w:rsid w:val="5F9430F2"/>
    <w:rsid w:val="5F9E02EC"/>
    <w:rsid w:val="5FA1081C"/>
    <w:rsid w:val="5FBB5BDB"/>
    <w:rsid w:val="5FD9462B"/>
    <w:rsid w:val="5FDA36A7"/>
    <w:rsid w:val="5FE061B9"/>
    <w:rsid w:val="5FEB5761"/>
    <w:rsid w:val="5FF2552B"/>
    <w:rsid w:val="5FFB6305"/>
    <w:rsid w:val="5FFB6714"/>
    <w:rsid w:val="60011320"/>
    <w:rsid w:val="60267D5D"/>
    <w:rsid w:val="604100BA"/>
    <w:rsid w:val="6057025C"/>
    <w:rsid w:val="606F133D"/>
    <w:rsid w:val="60795FB2"/>
    <w:rsid w:val="607B07D5"/>
    <w:rsid w:val="60916901"/>
    <w:rsid w:val="60993336"/>
    <w:rsid w:val="609949E1"/>
    <w:rsid w:val="60A27DAC"/>
    <w:rsid w:val="60B91733"/>
    <w:rsid w:val="60C20183"/>
    <w:rsid w:val="60E34759"/>
    <w:rsid w:val="610B115D"/>
    <w:rsid w:val="61120121"/>
    <w:rsid w:val="611F5E40"/>
    <w:rsid w:val="612650A2"/>
    <w:rsid w:val="61275225"/>
    <w:rsid w:val="613971A8"/>
    <w:rsid w:val="613A1351"/>
    <w:rsid w:val="614041D7"/>
    <w:rsid w:val="61552A82"/>
    <w:rsid w:val="616C655B"/>
    <w:rsid w:val="616E381D"/>
    <w:rsid w:val="61702147"/>
    <w:rsid w:val="61A21ED5"/>
    <w:rsid w:val="61AA66DD"/>
    <w:rsid w:val="61BA5EFD"/>
    <w:rsid w:val="61C7660C"/>
    <w:rsid w:val="61D272BB"/>
    <w:rsid w:val="61D55DBE"/>
    <w:rsid w:val="61D81BE2"/>
    <w:rsid w:val="61E47F27"/>
    <w:rsid w:val="61E93AD6"/>
    <w:rsid w:val="61F55CC4"/>
    <w:rsid w:val="61F93243"/>
    <w:rsid w:val="620100B1"/>
    <w:rsid w:val="62190F45"/>
    <w:rsid w:val="62193B80"/>
    <w:rsid w:val="621B4181"/>
    <w:rsid w:val="62216BE1"/>
    <w:rsid w:val="62311BC3"/>
    <w:rsid w:val="62353B47"/>
    <w:rsid w:val="62361100"/>
    <w:rsid w:val="624076D6"/>
    <w:rsid w:val="62511DE0"/>
    <w:rsid w:val="62697D86"/>
    <w:rsid w:val="628C53F9"/>
    <w:rsid w:val="62937829"/>
    <w:rsid w:val="62A20B07"/>
    <w:rsid w:val="62A414E0"/>
    <w:rsid w:val="62BA5904"/>
    <w:rsid w:val="62CC77CB"/>
    <w:rsid w:val="62CD6A55"/>
    <w:rsid w:val="62D51842"/>
    <w:rsid w:val="62F3784F"/>
    <w:rsid w:val="62F41404"/>
    <w:rsid w:val="62FF3FB5"/>
    <w:rsid w:val="63021DE2"/>
    <w:rsid w:val="63082288"/>
    <w:rsid w:val="63112339"/>
    <w:rsid w:val="631E4EB5"/>
    <w:rsid w:val="632C21E9"/>
    <w:rsid w:val="632C2662"/>
    <w:rsid w:val="633013E8"/>
    <w:rsid w:val="633758BB"/>
    <w:rsid w:val="63385D89"/>
    <w:rsid w:val="633A0F04"/>
    <w:rsid w:val="633F1EE3"/>
    <w:rsid w:val="6340127C"/>
    <w:rsid w:val="63402FDE"/>
    <w:rsid w:val="63654FE0"/>
    <w:rsid w:val="63835B20"/>
    <w:rsid w:val="63985508"/>
    <w:rsid w:val="63AA5332"/>
    <w:rsid w:val="63C61233"/>
    <w:rsid w:val="63D33DB7"/>
    <w:rsid w:val="63FF6AFB"/>
    <w:rsid w:val="640754EE"/>
    <w:rsid w:val="64142736"/>
    <w:rsid w:val="642A2A58"/>
    <w:rsid w:val="642A353F"/>
    <w:rsid w:val="64391A57"/>
    <w:rsid w:val="64456123"/>
    <w:rsid w:val="64585109"/>
    <w:rsid w:val="645F7031"/>
    <w:rsid w:val="64663CD8"/>
    <w:rsid w:val="64881679"/>
    <w:rsid w:val="649F7EFD"/>
    <w:rsid w:val="64A67ACD"/>
    <w:rsid w:val="64A84422"/>
    <w:rsid w:val="64B23DB4"/>
    <w:rsid w:val="64B55A95"/>
    <w:rsid w:val="64B64B66"/>
    <w:rsid w:val="64B86E2A"/>
    <w:rsid w:val="64C12A40"/>
    <w:rsid w:val="64C15487"/>
    <w:rsid w:val="64C51685"/>
    <w:rsid w:val="64C82CB3"/>
    <w:rsid w:val="64DD1B37"/>
    <w:rsid w:val="65137300"/>
    <w:rsid w:val="6526740F"/>
    <w:rsid w:val="653B3110"/>
    <w:rsid w:val="653D16E0"/>
    <w:rsid w:val="6556674F"/>
    <w:rsid w:val="655F2B6C"/>
    <w:rsid w:val="65862CD9"/>
    <w:rsid w:val="6588686F"/>
    <w:rsid w:val="659E46D8"/>
    <w:rsid w:val="65A57048"/>
    <w:rsid w:val="65B50E5A"/>
    <w:rsid w:val="65C3067B"/>
    <w:rsid w:val="65D40A3C"/>
    <w:rsid w:val="65D54781"/>
    <w:rsid w:val="65D7500D"/>
    <w:rsid w:val="65DB784E"/>
    <w:rsid w:val="65DF45BB"/>
    <w:rsid w:val="660867AF"/>
    <w:rsid w:val="662D27C6"/>
    <w:rsid w:val="66452970"/>
    <w:rsid w:val="66452FE9"/>
    <w:rsid w:val="668D7DF1"/>
    <w:rsid w:val="66964197"/>
    <w:rsid w:val="66AB7EE5"/>
    <w:rsid w:val="66AD415D"/>
    <w:rsid w:val="66C73D9C"/>
    <w:rsid w:val="66D04B5E"/>
    <w:rsid w:val="66D60DB1"/>
    <w:rsid w:val="66E561D8"/>
    <w:rsid w:val="66EA3DD6"/>
    <w:rsid w:val="66F00AF0"/>
    <w:rsid w:val="6700750E"/>
    <w:rsid w:val="671D6BF1"/>
    <w:rsid w:val="67580868"/>
    <w:rsid w:val="67610EFA"/>
    <w:rsid w:val="6773071F"/>
    <w:rsid w:val="67805A9B"/>
    <w:rsid w:val="678D5B85"/>
    <w:rsid w:val="67904419"/>
    <w:rsid w:val="67995A29"/>
    <w:rsid w:val="67A00193"/>
    <w:rsid w:val="67AE06E9"/>
    <w:rsid w:val="67B563BE"/>
    <w:rsid w:val="67DB2545"/>
    <w:rsid w:val="67DC482A"/>
    <w:rsid w:val="67E55620"/>
    <w:rsid w:val="67EA5494"/>
    <w:rsid w:val="67EB5FE1"/>
    <w:rsid w:val="67ED1ADF"/>
    <w:rsid w:val="67FC2BE7"/>
    <w:rsid w:val="68080C09"/>
    <w:rsid w:val="68091997"/>
    <w:rsid w:val="680D19BB"/>
    <w:rsid w:val="680F7916"/>
    <w:rsid w:val="6815717B"/>
    <w:rsid w:val="681A46E7"/>
    <w:rsid w:val="681B7F08"/>
    <w:rsid w:val="68221A8C"/>
    <w:rsid w:val="68347A35"/>
    <w:rsid w:val="684D6D87"/>
    <w:rsid w:val="684F6446"/>
    <w:rsid w:val="685036D0"/>
    <w:rsid w:val="68525B9B"/>
    <w:rsid w:val="688432AD"/>
    <w:rsid w:val="6886446B"/>
    <w:rsid w:val="6886482A"/>
    <w:rsid w:val="688C12CD"/>
    <w:rsid w:val="688E57BC"/>
    <w:rsid w:val="68904BFB"/>
    <w:rsid w:val="68A0499E"/>
    <w:rsid w:val="68A36E99"/>
    <w:rsid w:val="68AE3670"/>
    <w:rsid w:val="68C332BA"/>
    <w:rsid w:val="68C708F2"/>
    <w:rsid w:val="68D56251"/>
    <w:rsid w:val="68EF5946"/>
    <w:rsid w:val="68F23CD8"/>
    <w:rsid w:val="68F25DFA"/>
    <w:rsid w:val="68FF3746"/>
    <w:rsid w:val="68FF6567"/>
    <w:rsid w:val="6902390E"/>
    <w:rsid w:val="692D78ED"/>
    <w:rsid w:val="693118AD"/>
    <w:rsid w:val="69603C4B"/>
    <w:rsid w:val="69614422"/>
    <w:rsid w:val="69683F1C"/>
    <w:rsid w:val="69734633"/>
    <w:rsid w:val="6986197E"/>
    <w:rsid w:val="69871BB8"/>
    <w:rsid w:val="698F5FE8"/>
    <w:rsid w:val="69930E11"/>
    <w:rsid w:val="699C0EF8"/>
    <w:rsid w:val="69A23095"/>
    <w:rsid w:val="69AB5DBB"/>
    <w:rsid w:val="69B06EFE"/>
    <w:rsid w:val="69B840F1"/>
    <w:rsid w:val="69C91948"/>
    <w:rsid w:val="69DC32D7"/>
    <w:rsid w:val="69F2176C"/>
    <w:rsid w:val="69F22996"/>
    <w:rsid w:val="69FD45AC"/>
    <w:rsid w:val="6A093AF9"/>
    <w:rsid w:val="6A0C6539"/>
    <w:rsid w:val="6A2314C2"/>
    <w:rsid w:val="6A2826A1"/>
    <w:rsid w:val="6A424D6D"/>
    <w:rsid w:val="6A551347"/>
    <w:rsid w:val="6A5660EE"/>
    <w:rsid w:val="6A5D1911"/>
    <w:rsid w:val="6A7E1AA3"/>
    <w:rsid w:val="6A9635F7"/>
    <w:rsid w:val="6A9F3407"/>
    <w:rsid w:val="6AA45AEE"/>
    <w:rsid w:val="6AAA05A9"/>
    <w:rsid w:val="6AE02BB5"/>
    <w:rsid w:val="6AE60B4C"/>
    <w:rsid w:val="6B0E0011"/>
    <w:rsid w:val="6B113D9E"/>
    <w:rsid w:val="6B3529D0"/>
    <w:rsid w:val="6B357BE5"/>
    <w:rsid w:val="6B3611E8"/>
    <w:rsid w:val="6B3C6A10"/>
    <w:rsid w:val="6B3D3D48"/>
    <w:rsid w:val="6B5B3158"/>
    <w:rsid w:val="6B5D6E33"/>
    <w:rsid w:val="6B6B1AAA"/>
    <w:rsid w:val="6B726A7C"/>
    <w:rsid w:val="6B8833D8"/>
    <w:rsid w:val="6B8902B7"/>
    <w:rsid w:val="6B9878C4"/>
    <w:rsid w:val="6BA832B8"/>
    <w:rsid w:val="6BB54A7D"/>
    <w:rsid w:val="6BBA4198"/>
    <w:rsid w:val="6BBA5C26"/>
    <w:rsid w:val="6BC644EC"/>
    <w:rsid w:val="6BDB04B6"/>
    <w:rsid w:val="6BE963BE"/>
    <w:rsid w:val="6C0F365E"/>
    <w:rsid w:val="6C0F611F"/>
    <w:rsid w:val="6C2E2CA9"/>
    <w:rsid w:val="6C33536D"/>
    <w:rsid w:val="6C3E3641"/>
    <w:rsid w:val="6C496677"/>
    <w:rsid w:val="6C517C19"/>
    <w:rsid w:val="6C547454"/>
    <w:rsid w:val="6C5648D5"/>
    <w:rsid w:val="6C650278"/>
    <w:rsid w:val="6C740601"/>
    <w:rsid w:val="6C7F6C59"/>
    <w:rsid w:val="6C842DAB"/>
    <w:rsid w:val="6C8A5474"/>
    <w:rsid w:val="6CC9029C"/>
    <w:rsid w:val="6CC91B21"/>
    <w:rsid w:val="6CD85C69"/>
    <w:rsid w:val="6CDD1D7B"/>
    <w:rsid w:val="6CF22917"/>
    <w:rsid w:val="6CFA4338"/>
    <w:rsid w:val="6D176994"/>
    <w:rsid w:val="6D233DD2"/>
    <w:rsid w:val="6D44019E"/>
    <w:rsid w:val="6D464DCC"/>
    <w:rsid w:val="6D616216"/>
    <w:rsid w:val="6D861CBD"/>
    <w:rsid w:val="6D8D1511"/>
    <w:rsid w:val="6D932C97"/>
    <w:rsid w:val="6D9868E0"/>
    <w:rsid w:val="6DA225C5"/>
    <w:rsid w:val="6DB630F7"/>
    <w:rsid w:val="6DBF57D4"/>
    <w:rsid w:val="6DC27A0E"/>
    <w:rsid w:val="6DDD44A9"/>
    <w:rsid w:val="6DF90DFC"/>
    <w:rsid w:val="6E04099A"/>
    <w:rsid w:val="6E097C58"/>
    <w:rsid w:val="6E0A3A02"/>
    <w:rsid w:val="6E0E61FC"/>
    <w:rsid w:val="6E10454B"/>
    <w:rsid w:val="6E3101C1"/>
    <w:rsid w:val="6E451A64"/>
    <w:rsid w:val="6E67698D"/>
    <w:rsid w:val="6E6839F7"/>
    <w:rsid w:val="6E733F82"/>
    <w:rsid w:val="6E7C3832"/>
    <w:rsid w:val="6E874489"/>
    <w:rsid w:val="6E960A52"/>
    <w:rsid w:val="6EA0744D"/>
    <w:rsid w:val="6EA3291D"/>
    <w:rsid w:val="6EA67504"/>
    <w:rsid w:val="6EA70317"/>
    <w:rsid w:val="6ED133CF"/>
    <w:rsid w:val="6EDD75A0"/>
    <w:rsid w:val="6EE73EE7"/>
    <w:rsid w:val="6F0D2298"/>
    <w:rsid w:val="6F145E1F"/>
    <w:rsid w:val="6F164ADC"/>
    <w:rsid w:val="6F276C23"/>
    <w:rsid w:val="6F37324B"/>
    <w:rsid w:val="6F4B77AB"/>
    <w:rsid w:val="6F59783E"/>
    <w:rsid w:val="6F5A407F"/>
    <w:rsid w:val="6F9045BD"/>
    <w:rsid w:val="6F9670B5"/>
    <w:rsid w:val="6F991282"/>
    <w:rsid w:val="6F9A4BFC"/>
    <w:rsid w:val="6FAD4095"/>
    <w:rsid w:val="6FB963FA"/>
    <w:rsid w:val="6FC808E6"/>
    <w:rsid w:val="6FD071A2"/>
    <w:rsid w:val="6FD57D31"/>
    <w:rsid w:val="6FD969D9"/>
    <w:rsid w:val="6FDF42CC"/>
    <w:rsid w:val="700A32D4"/>
    <w:rsid w:val="7011160C"/>
    <w:rsid w:val="70143D7F"/>
    <w:rsid w:val="70394E16"/>
    <w:rsid w:val="703B2856"/>
    <w:rsid w:val="70512274"/>
    <w:rsid w:val="707136A0"/>
    <w:rsid w:val="7071512F"/>
    <w:rsid w:val="70836044"/>
    <w:rsid w:val="708E3F08"/>
    <w:rsid w:val="70945DFE"/>
    <w:rsid w:val="70963635"/>
    <w:rsid w:val="709E757C"/>
    <w:rsid w:val="70A4031D"/>
    <w:rsid w:val="70A81FF7"/>
    <w:rsid w:val="70AB6982"/>
    <w:rsid w:val="70B74010"/>
    <w:rsid w:val="70B960E4"/>
    <w:rsid w:val="70BD0161"/>
    <w:rsid w:val="70CE2945"/>
    <w:rsid w:val="70DD4262"/>
    <w:rsid w:val="70E03E42"/>
    <w:rsid w:val="710003A8"/>
    <w:rsid w:val="710376A0"/>
    <w:rsid w:val="71055269"/>
    <w:rsid w:val="710F0BB8"/>
    <w:rsid w:val="71194261"/>
    <w:rsid w:val="711C5BB5"/>
    <w:rsid w:val="71375D39"/>
    <w:rsid w:val="713839ED"/>
    <w:rsid w:val="7144689C"/>
    <w:rsid w:val="714872A8"/>
    <w:rsid w:val="714E4437"/>
    <w:rsid w:val="715971DA"/>
    <w:rsid w:val="717E5F2F"/>
    <w:rsid w:val="71885178"/>
    <w:rsid w:val="718B15C7"/>
    <w:rsid w:val="719C0345"/>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4C75EB"/>
    <w:rsid w:val="72522107"/>
    <w:rsid w:val="7258227F"/>
    <w:rsid w:val="726542C5"/>
    <w:rsid w:val="72713F85"/>
    <w:rsid w:val="72725AF0"/>
    <w:rsid w:val="72791350"/>
    <w:rsid w:val="727E25B6"/>
    <w:rsid w:val="72931EAF"/>
    <w:rsid w:val="72963B15"/>
    <w:rsid w:val="729B43C7"/>
    <w:rsid w:val="729B556A"/>
    <w:rsid w:val="72A264DB"/>
    <w:rsid w:val="72AA2B66"/>
    <w:rsid w:val="72BD48D1"/>
    <w:rsid w:val="72C65D78"/>
    <w:rsid w:val="72CC26C6"/>
    <w:rsid w:val="72D7336E"/>
    <w:rsid w:val="72F21234"/>
    <w:rsid w:val="72FD0906"/>
    <w:rsid w:val="7313580C"/>
    <w:rsid w:val="731D5BEB"/>
    <w:rsid w:val="73296739"/>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37621"/>
    <w:rsid w:val="740C66E7"/>
    <w:rsid w:val="741C3B3B"/>
    <w:rsid w:val="741D2D43"/>
    <w:rsid w:val="745B0796"/>
    <w:rsid w:val="745F4062"/>
    <w:rsid w:val="74633A98"/>
    <w:rsid w:val="746F28A8"/>
    <w:rsid w:val="74DF558B"/>
    <w:rsid w:val="74EE1D1B"/>
    <w:rsid w:val="74F10289"/>
    <w:rsid w:val="74F34F85"/>
    <w:rsid w:val="74F826B3"/>
    <w:rsid w:val="75014572"/>
    <w:rsid w:val="75067D82"/>
    <w:rsid w:val="75101474"/>
    <w:rsid w:val="75152359"/>
    <w:rsid w:val="752955C7"/>
    <w:rsid w:val="75473AB6"/>
    <w:rsid w:val="755A639D"/>
    <w:rsid w:val="75612341"/>
    <w:rsid w:val="75651105"/>
    <w:rsid w:val="756B34A4"/>
    <w:rsid w:val="757E7386"/>
    <w:rsid w:val="75882465"/>
    <w:rsid w:val="7589081E"/>
    <w:rsid w:val="75913AD5"/>
    <w:rsid w:val="75AB03F6"/>
    <w:rsid w:val="75C04D35"/>
    <w:rsid w:val="75CA48E7"/>
    <w:rsid w:val="75CE07FB"/>
    <w:rsid w:val="75D15E60"/>
    <w:rsid w:val="75E027FD"/>
    <w:rsid w:val="75E21B92"/>
    <w:rsid w:val="75E85E32"/>
    <w:rsid w:val="76351D9E"/>
    <w:rsid w:val="763E077B"/>
    <w:rsid w:val="7640418E"/>
    <w:rsid w:val="76511A24"/>
    <w:rsid w:val="765629A7"/>
    <w:rsid w:val="765728BC"/>
    <w:rsid w:val="76617A2A"/>
    <w:rsid w:val="76752691"/>
    <w:rsid w:val="76924971"/>
    <w:rsid w:val="76933E2E"/>
    <w:rsid w:val="76960A4B"/>
    <w:rsid w:val="76964351"/>
    <w:rsid w:val="76A27B4C"/>
    <w:rsid w:val="76B918A6"/>
    <w:rsid w:val="76BC587C"/>
    <w:rsid w:val="76BF7808"/>
    <w:rsid w:val="76C00AFC"/>
    <w:rsid w:val="76C07136"/>
    <w:rsid w:val="76DD09AF"/>
    <w:rsid w:val="76ED1347"/>
    <w:rsid w:val="76F433E8"/>
    <w:rsid w:val="77176F12"/>
    <w:rsid w:val="771946D8"/>
    <w:rsid w:val="772268FD"/>
    <w:rsid w:val="773D5274"/>
    <w:rsid w:val="77402C4B"/>
    <w:rsid w:val="77474684"/>
    <w:rsid w:val="774B39B8"/>
    <w:rsid w:val="775666E2"/>
    <w:rsid w:val="77653ACC"/>
    <w:rsid w:val="77747DD3"/>
    <w:rsid w:val="77A82770"/>
    <w:rsid w:val="77BD4BE4"/>
    <w:rsid w:val="77BD7E72"/>
    <w:rsid w:val="77C9487D"/>
    <w:rsid w:val="77D0299F"/>
    <w:rsid w:val="77ED0386"/>
    <w:rsid w:val="77F72469"/>
    <w:rsid w:val="77F854D4"/>
    <w:rsid w:val="78003B18"/>
    <w:rsid w:val="78065036"/>
    <w:rsid w:val="780D5CB6"/>
    <w:rsid w:val="78155E57"/>
    <w:rsid w:val="78366B8C"/>
    <w:rsid w:val="783B287A"/>
    <w:rsid w:val="78482C69"/>
    <w:rsid w:val="785E7689"/>
    <w:rsid w:val="786A7B13"/>
    <w:rsid w:val="787C388D"/>
    <w:rsid w:val="788249B9"/>
    <w:rsid w:val="78886D15"/>
    <w:rsid w:val="78AD7D8E"/>
    <w:rsid w:val="78B2035E"/>
    <w:rsid w:val="78B43B82"/>
    <w:rsid w:val="78B57D9C"/>
    <w:rsid w:val="78BB76EA"/>
    <w:rsid w:val="78E26C73"/>
    <w:rsid w:val="78E76B0F"/>
    <w:rsid w:val="78F65C61"/>
    <w:rsid w:val="78FB1BD1"/>
    <w:rsid w:val="79213328"/>
    <w:rsid w:val="79213DE2"/>
    <w:rsid w:val="793809FB"/>
    <w:rsid w:val="7964511F"/>
    <w:rsid w:val="79824E81"/>
    <w:rsid w:val="79956A1C"/>
    <w:rsid w:val="799B2468"/>
    <w:rsid w:val="799E7491"/>
    <w:rsid w:val="799F3F47"/>
    <w:rsid w:val="79A72484"/>
    <w:rsid w:val="79A82466"/>
    <w:rsid w:val="79BA471D"/>
    <w:rsid w:val="79C47FC2"/>
    <w:rsid w:val="79D417BE"/>
    <w:rsid w:val="79DF005F"/>
    <w:rsid w:val="79E028EC"/>
    <w:rsid w:val="79F47009"/>
    <w:rsid w:val="7A114E8A"/>
    <w:rsid w:val="7A1C5B1C"/>
    <w:rsid w:val="7A233119"/>
    <w:rsid w:val="7A2D6C9D"/>
    <w:rsid w:val="7A4653BA"/>
    <w:rsid w:val="7A4B4C2F"/>
    <w:rsid w:val="7A707B63"/>
    <w:rsid w:val="7A765EEC"/>
    <w:rsid w:val="7A773B5D"/>
    <w:rsid w:val="7A790CA9"/>
    <w:rsid w:val="7AA36941"/>
    <w:rsid w:val="7AB0523D"/>
    <w:rsid w:val="7AB83F1D"/>
    <w:rsid w:val="7ACC04C2"/>
    <w:rsid w:val="7AD234FC"/>
    <w:rsid w:val="7AD86C9B"/>
    <w:rsid w:val="7ADD6AF4"/>
    <w:rsid w:val="7AE2061C"/>
    <w:rsid w:val="7AE960CA"/>
    <w:rsid w:val="7AF937F5"/>
    <w:rsid w:val="7B002131"/>
    <w:rsid w:val="7B063546"/>
    <w:rsid w:val="7B0864F6"/>
    <w:rsid w:val="7B134040"/>
    <w:rsid w:val="7B1B16D3"/>
    <w:rsid w:val="7B2E6780"/>
    <w:rsid w:val="7B506EC2"/>
    <w:rsid w:val="7B5D217A"/>
    <w:rsid w:val="7B614801"/>
    <w:rsid w:val="7B6158E6"/>
    <w:rsid w:val="7B684A54"/>
    <w:rsid w:val="7B913B86"/>
    <w:rsid w:val="7B97422A"/>
    <w:rsid w:val="7BA969F0"/>
    <w:rsid w:val="7BB31B68"/>
    <w:rsid w:val="7BCB31C0"/>
    <w:rsid w:val="7BDC6155"/>
    <w:rsid w:val="7BEF4BDC"/>
    <w:rsid w:val="7C035604"/>
    <w:rsid w:val="7C071C5F"/>
    <w:rsid w:val="7C1311BA"/>
    <w:rsid w:val="7C194469"/>
    <w:rsid w:val="7C1A6CD5"/>
    <w:rsid w:val="7C2630F4"/>
    <w:rsid w:val="7C326149"/>
    <w:rsid w:val="7C3A066B"/>
    <w:rsid w:val="7C45471C"/>
    <w:rsid w:val="7C7001B6"/>
    <w:rsid w:val="7C7E27D3"/>
    <w:rsid w:val="7C7F3629"/>
    <w:rsid w:val="7C8B7A6D"/>
    <w:rsid w:val="7C90110D"/>
    <w:rsid w:val="7C901429"/>
    <w:rsid w:val="7C935E25"/>
    <w:rsid w:val="7C9B6AF6"/>
    <w:rsid w:val="7CA34622"/>
    <w:rsid w:val="7CA726F6"/>
    <w:rsid w:val="7CC74A77"/>
    <w:rsid w:val="7CC90590"/>
    <w:rsid w:val="7D2F6FF7"/>
    <w:rsid w:val="7D303FCF"/>
    <w:rsid w:val="7D332F6D"/>
    <w:rsid w:val="7D3446E3"/>
    <w:rsid w:val="7D3A1A33"/>
    <w:rsid w:val="7D3D587B"/>
    <w:rsid w:val="7D4435DF"/>
    <w:rsid w:val="7D4B267A"/>
    <w:rsid w:val="7D517A82"/>
    <w:rsid w:val="7D5C75F5"/>
    <w:rsid w:val="7D694213"/>
    <w:rsid w:val="7D6B16D3"/>
    <w:rsid w:val="7D6E6D2F"/>
    <w:rsid w:val="7DB838C8"/>
    <w:rsid w:val="7DC23C3E"/>
    <w:rsid w:val="7DCA5633"/>
    <w:rsid w:val="7DE170A5"/>
    <w:rsid w:val="7DF115AC"/>
    <w:rsid w:val="7DF46E1B"/>
    <w:rsid w:val="7E0464CE"/>
    <w:rsid w:val="7E1350EF"/>
    <w:rsid w:val="7E1F6022"/>
    <w:rsid w:val="7E202324"/>
    <w:rsid w:val="7E25554F"/>
    <w:rsid w:val="7E2C2660"/>
    <w:rsid w:val="7E421CCD"/>
    <w:rsid w:val="7E476D34"/>
    <w:rsid w:val="7E555A2D"/>
    <w:rsid w:val="7E65038E"/>
    <w:rsid w:val="7E6D6DAE"/>
    <w:rsid w:val="7E6F3FB2"/>
    <w:rsid w:val="7E957586"/>
    <w:rsid w:val="7E9B11AA"/>
    <w:rsid w:val="7E9E1DEB"/>
    <w:rsid w:val="7EA32AD0"/>
    <w:rsid w:val="7EAC79DF"/>
    <w:rsid w:val="7ECD4344"/>
    <w:rsid w:val="7ED55007"/>
    <w:rsid w:val="7ED953E3"/>
    <w:rsid w:val="7EF765D0"/>
    <w:rsid w:val="7EF87C96"/>
    <w:rsid w:val="7F086927"/>
    <w:rsid w:val="7F0A3362"/>
    <w:rsid w:val="7F215D8A"/>
    <w:rsid w:val="7F262B48"/>
    <w:rsid w:val="7F301B1E"/>
    <w:rsid w:val="7F375D0A"/>
    <w:rsid w:val="7F500CBA"/>
    <w:rsid w:val="7F587DE1"/>
    <w:rsid w:val="7F59726B"/>
    <w:rsid w:val="7F61016D"/>
    <w:rsid w:val="7F635A42"/>
    <w:rsid w:val="7F6D28E2"/>
    <w:rsid w:val="7F806B0A"/>
    <w:rsid w:val="7F820D78"/>
    <w:rsid w:val="7F935AA2"/>
    <w:rsid w:val="7FA379C4"/>
    <w:rsid w:val="7FA51E6D"/>
    <w:rsid w:val="7FB549BA"/>
    <w:rsid w:val="7FC76DE8"/>
    <w:rsid w:val="7FD10373"/>
    <w:rsid w:val="7FFD21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标题 1 字符"/>
    <w:link w:val="2"/>
    <w:qFormat/>
    <w:uiPriority w:val="99"/>
    <w:rPr>
      <w:rFonts w:ascii="Arial" w:hAnsi="Arial" w:eastAsia="黑体"/>
      <w:b/>
      <w:bCs/>
      <w:sz w:val="30"/>
      <w:szCs w:val="30"/>
      <w:lang w:val="zh-CN"/>
    </w:rPr>
  </w:style>
  <w:style w:type="character" w:customStyle="1" w:styleId="35">
    <w:name w:val="标题 3 字符"/>
    <w:link w:val="4"/>
    <w:qFormat/>
    <w:uiPriority w:val="9"/>
    <w:rPr>
      <w:b/>
      <w:bCs/>
      <w:sz w:val="32"/>
      <w:szCs w:val="32"/>
    </w:rPr>
  </w:style>
  <w:style w:type="character" w:customStyle="1" w:styleId="36">
    <w:name w:val="页眉 字符"/>
    <w:link w:val="18"/>
    <w:qFormat/>
    <w:uiPriority w:val="0"/>
    <w:rPr>
      <w:rFonts w:ascii="Arial" w:hAnsi="Arial" w:eastAsia="MS Mincho"/>
      <w:b/>
      <w:szCs w:val="24"/>
      <w:lang w:eastAsia="en-US"/>
    </w:rPr>
  </w:style>
  <w:style w:type="character" w:customStyle="1" w:styleId="37">
    <w:name w:val="批注主题 字符"/>
    <w:link w:val="22"/>
    <w:semiHidden/>
    <w:qFormat/>
    <w:uiPriority w:val="99"/>
    <w:rPr>
      <w:b/>
      <w:bCs/>
    </w:rPr>
  </w:style>
  <w:style w:type="character" w:customStyle="1" w:styleId="38">
    <w:name w:val="脚注文本 字符"/>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题注 字符"/>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批注文字 字符"/>
    <w:basedOn w:val="26"/>
    <w:link w:val="14"/>
    <w:qFormat/>
    <w:uiPriority w:val="0"/>
  </w:style>
  <w:style w:type="character" w:customStyle="1" w:styleId="51">
    <w:name w:val="正文文本 字符"/>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批注框文本 字符"/>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文档结构图 字符"/>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5.bin"/><Relationship Id="rId17" Type="http://schemas.openxmlformats.org/officeDocument/2006/relationships/image" Target="media/image7.wmf"/><Relationship Id="rId16" Type="http://schemas.openxmlformats.org/officeDocument/2006/relationships/oleObject" Target="embeddings/oleObject4.bin"/><Relationship Id="rId15" Type="http://schemas.openxmlformats.org/officeDocument/2006/relationships/image" Target="media/image6.wmf"/><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1F31-9069-48A7-AD36-FF9B50F60FB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11</Pages>
  <Words>4104</Words>
  <Characters>23398</Characters>
  <Lines>194</Lines>
  <Paragraphs>54</Paragraphs>
  <TotalTime>37</TotalTime>
  <ScaleCrop>false</ScaleCrop>
  <LinksUpToDate>false</LinksUpToDate>
  <CharactersWithSpaces>27448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2024-04-05T07:35:00Z</dcterms:created>
  <dc:creator>ZTE</dc:creator>
  <cp:lastModifiedBy>ZTE</cp:lastModifiedBy>
  <dcterms:modified xsi:type="dcterms:W3CDTF">2024-04-05T09:28:49Z</dcterms:modified>
  <dc:title>3GPP TSG-RAN WG1</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C2AC27AFF09F4DC883BAF94B059D02EA</vt:lpwstr>
  </property>
</Properties>
</file>